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Royal Oak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Royal Oak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October 2020</w:t>
      </w:r>
      <w:bookmarkEnd w:id="7"/>
      <w:r w:rsidRPr="009418D4">
        <w:rPr>
          <w:rFonts w:cs="Arial"/>
        </w:rPr>
        <w:tab/>
        <w:t xml:space="preserve">End date: </w:t>
      </w:r>
      <w:bookmarkStart w:id="8" w:name="AuditEndDate"/>
      <w:r w:rsidR="00A4268A">
        <w:rPr>
          <w:rFonts w:cs="Arial"/>
        </w:rPr>
        <w:t>16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CHT Royal Oak Rest Home is owned and operated by the CHT, and cares for up to 40 residents requiring rest home level care.  On the day of the audit, there were 39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unit manager is a registered nurse who has been in the role for ten months; the unit manager is supported by a clinical coordinator, also a registered nurse.  Staff spoke positively about the support/direction and management of the current management team.</w:t>
      </w:r>
    </w:p>
    <w:p w:rsidRPr="00A4268A">
      <w:pPr>
        <w:spacing w:before="240" w:line="276" w:lineRule="auto"/>
        <w:rPr>
          <w:rFonts w:eastAsia="Calibri"/>
        </w:rPr>
      </w:pPr>
      <w:r w:rsidRPr="00A4268A">
        <w:rPr>
          <w:rFonts w:eastAsia="Calibri"/>
        </w:rPr>
        <w:t>There is a fully implemented quality system in place.  Residents, relatives and the general practitioner (GP) interviewed spoke positively about the service provided.</w:t>
      </w:r>
    </w:p>
    <w:p w:rsidRPr="00A4268A">
      <w:pPr>
        <w:spacing w:before="240" w:line="276" w:lineRule="auto"/>
        <w:rPr>
          <w:rFonts w:eastAsia="Calibri"/>
        </w:rPr>
      </w:pPr>
      <w:r w:rsidRPr="00A4268A">
        <w:rPr>
          <w:rFonts w:eastAsia="Calibri"/>
        </w:rPr>
        <w:t xml:space="preserve">This audit did not identify any shortfalls.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CHT Royal Oak endeavours to ensure that care is provided in a way that focuses on the individual, values residents' quality of life and maintains their privacy and choice.    </w:t>
      </w:r>
    </w:p>
    <w:p w:rsidRPr="00A4268A">
      <w:pPr>
        <w:spacing w:before="240" w:line="276" w:lineRule="auto"/>
        <w:rPr>
          <w:rFonts w:eastAsia="Calibri"/>
        </w:rPr>
      </w:pPr>
      <w:r w:rsidRPr="00A4268A">
        <w:rPr>
          <w:rFonts w:eastAsia="Calibri"/>
        </w:rPr>
        <w:t xml:space="preserve">Written information regarding consumers’ rights is provided to residents and families.  The rights of the resident and/or their family to make a complaint is understood, respected and upheld by the service.  Complaints processes are documented. Care plans accommodate the choices of residents and/or their family/whānau.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CHT Royal Oak has a current business plan that outlines objectives for the year.  The quality processes being implemented include regularly reviewed policies, an internal audit programme and a health and safety programme that includes hazard management.  Meetings are held to discuss quality and risk management processes and results.  Residents’ meetings are held, and residents and families are regularly surveyed.  Appropriate employment processes are adhered to and employees have an annual appraisal completed.  An education and training programme is being implemented.  Incidents and accidents are reported.  The service has a documented rationale for determining staffing.  Staff, residents and family members reported staffing levels are sufficient to meet residents’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primarily by the unit manager or clinical coordinator.  There is comprehensive service information available.  Assessments, care plans and evaluations are completed by the registered nurses within the required timeframe.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 xml:space="preserve">Meals are prepared on site.  The menu is varied and appropriate.  Individual and special dietary needs are catered for.  Alternative options are able to be provided.  Residents and relatives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All bedrooms are single occupancy and share an ensuite with the room next door.  There is sufficient space to allow the movement of residents around the facility using mobility aids.  Communal living areas and resident rooms are appropriately heated and ventilated.  The outdoor areas are safe and easily accessible.  Maintenance staff are providing appropriate services.  </w:t>
      </w:r>
    </w:p>
    <w:p w:rsidRPr="00A4268A">
      <w:pPr>
        <w:spacing w:before="240" w:line="276" w:lineRule="auto"/>
        <w:rPr>
          <w:rFonts w:eastAsia="Calibri"/>
        </w:rPr>
      </w:pPr>
      <w:r w:rsidRPr="00A4268A">
        <w:rPr>
          <w:rFonts w:eastAsia="Calibri"/>
        </w:rPr>
        <w:t xml:space="preserve">The service has implemented policies and procedures for civil defence and other emergencies.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restraints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a registered nurse.  There is a suite of infection control policies and guidelines that meet infection control standards.  The infection control programme is reviewed annually.  Staff receive annual infection control education.  Surveillance is used to determine quality assurance activities and education needs for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7"/>
        <w:gridCol w:w="1280"/>
        <w:gridCol w:w="104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in an accessible and visible location.  Information about the complaints process is provided on admission.  All staff interviewed acknowledged that residents are encouraged to report concerns and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in place.  Fifteen complaints have been lodged for 2020 (year to date).  The service is proactive with documenting all complaints and issues; this included: issues brought up through surveys, verbal feedback, and complaints raised by staff regarding contractor services (cleaning as an example).  There is evidence of complaints being discussed in management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addressing all complaints have been implemented.  Timeframes for responding to each complaint met Health and Disability Commissioner (HDC) guidelines.  All complaints were documented as resolved.  No complaints have been lodged with HDC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Complaints received are discussed (as appropriate) in the quarterly quality/health and safety meetings.  Interviews with residents and family confirmed that any issues that are raised are addressed and that they feel comfortable bringing up concerns.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complaints being discussed in management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 residents interviewed stated they were welcomed on entry and were given time and explanation about the services and procedures.  Accident/incidents, complaints procedures and the policy and processes around open disclosure alert staff to their responsibility to notify family/next of kin of any accident/incident and ensure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incidents/accidents forms were selected for review.  All forms reviewed indicated family were informed.  Two family members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Links are established with a range of external interpreters.  Two healthcare assistants, one RN (clinical coordinator) and one-unit manager interviewed were all aware of interpreter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Royal Oak is owned and operated by the Christian Healthcare Trust.  The service provides rest home level of care for up to 40 residents.  On the day of the audit there were 39 residents.  Three residents were funded through mental health services for older people, the remainder were under the Aged Residential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(RN) and maintains an annual practicing certificate.  She has been in the role for ten months.  The unit manager has many years’ experience in managing elderly care services prior to this role.  The clinical coordinator/RN has been in the role for nine months.  The unit manager and clinical coordinator are supported by three part-time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CHT Royal Oak has a performance plan that lists performance goals for the facility that are centred on strategic themes.  The unit manager reports monthly (at a minimum) to the area manager regarding progress towards meeting goals.  The unit manager discussed the quality improvement themes she is implementing around: culture improvement, reviewing and updating the quality process and documentation, improving resident information and ensuring staff receive timely, open and transparent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has completed a minimum of eight hours of professional development in the past 12 months relating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advised that she and the clinical coordinator are responsible for providing oversight of the quality programme.  Interviews with the managers and staff and review of the quarterly quality/health and safety meeting minutes confirmed that quality systems developed by CHT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skin tears, pressure injuries, infections) are analysed with trends identified.  Results are discussed in the quarterly quality/health and safety meetings. Minutes are posted in the staffroom for staff to read and sign.  Regular staff meetings are also held which discuss operational matters.  During the Covid-19 shut down the unit manager emailed staff with updates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six-monthly internal audit programme is being implemented.  Areas of non-compliance identified are actioned for improvements and reflect sign-off by the area manager when completed.  Additional audits include: Monthly medication audits and monthly cleaning audits. </w:t>
            </w:r>
          </w:p>
          <w:p w:rsidR="00EB7645" w:rsidRPr="00BE00C7" w:rsidP="00BE00C7">
            <w:pPr>
              <w:pStyle w:val="OutcomeDescription"/>
              <w:spacing w:before="120" w:after="120"/>
              <w:rPr>
                <w:rFonts w:cs="Arial"/>
                <w:b w:val="0"/>
                <w:lang w:eastAsia="en-NZ"/>
              </w:rPr>
            </w:pPr>
            <w:r w:rsidRPr="00BE00C7">
              <w:rPr>
                <w:rFonts w:cs="Arial"/>
                <w:b w:val="0"/>
                <w:lang w:eastAsia="en-NZ"/>
              </w:rPr>
              <w:t>CHT has implemented a rolling survey with different themes sent to families and residents each month to respond to.  Royal Oak has implemented this process.  Survey responses were reviewed in the staff meetings and also though the complaints process (if needed).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health and safety management system.  There are risk management, and health and safety policies and procedures in place including accident and hazard management.  The health and safety representatives are the unit manager and clinical coordinator.  Staff complete a hazard reporting form when a hazard is identified.  Controls are in place to minimise hazards.  Hazard controls are regularly reviewed (most recent January 2020).  Contractors are orientated to health and safety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accident and incident reporting policy is being implemented.  The unit manager or clinical coordinator investigates/signs off on all accidents and near misses.  Analyses of incident trends occur.  There is a discussion of incidents/accidents in the quality/health and safety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incident forms that were sampled, documented clinical follow-up of residents by an RN.  Neurological observations are completed when there is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unit manager confirmed her awareness of the requirement to notify relevant authorities in relation to essential notifications.  There have been no outbreaks or complaints involving HDC or coroner’s inquests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CHT human resources management policies have been implemented.  The recruitment and staff selection process requires that relevant checks are completed to validate the individual’s qualifications, experience and veracity.  A copy of current practising certificates is retained for all health professionals (eg, RNs, GPs, physiotherapist, podiatrist, pharmacy).  Six staff files reviewed (Two staff RN, three HCAs and the diversional therapist) evidenced that interviews are completed before employment is offered.  All new employees undergo police vetting and reference checking.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interviews confirmed that staff are appropriately orientated to the service.  HCAs are buddied with a more senior HCA.  </w:t>
            </w:r>
          </w:p>
          <w:p w:rsidR="00EB7645" w:rsidRPr="00BE00C7" w:rsidP="00BE00C7">
            <w:pPr>
              <w:pStyle w:val="OutcomeDescription"/>
              <w:spacing w:before="120" w:after="120"/>
              <w:rPr>
                <w:rFonts w:cs="Arial"/>
                <w:b w:val="0"/>
                <w:lang w:eastAsia="en-NZ"/>
              </w:rPr>
            </w:pPr>
            <w:r w:rsidRPr="00BE00C7">
              <w:rPr>
                <w:rFonts w:cs="Arial"/>
                <w:b w:val="0"/>
                <w:lang w:eastAsia="en-NZ"/>
              </w:rPr>
              <w:t>An in-service education programme is being implemented that meets contractual requirements.  In addition to regular in-house training, the district health board (DHB) hosts study days for both the RNs and HCAs.  The service has implemented an electronic training programme and 90% of staff have completed the electronic training as per schedule.  Additional training has included, Covid-19, PPE, and hand washing.  Training has also been provided when issues have been raised though audit and as needed.  This has included: Chemical safety, customer service and continence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four RNs (clinical coordinator and one staff RN) are interRAI trained.  Staff undergo annual performance appraisals with a schedule implemented to notify the managers when appraisals are due.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policy includes staff rationale and skill mix.  There are four suites with ten rooms in each suite.  Sufficient staff are rostered on to manage the care requirements of the residents.  The unit manager (RN) and clinical coordinator (RN), work Monday – Friday (7.30 am – 4.30 pm).  They also share an on-call roster.</w:t>
            </w:r>
          </w:p>
          <w:p w:rsidR="00EB7645" w:rsidRPr="00BE00C7" w:rsidP="00BE00C7">
            <w:pPr>
              <w:pStyle w:val="OutcomeDescription"/>
              <w:spacing w:before="120" w:after="120"/>
              <w:rPr>
                <w:rFonts w:cs="Arial"/>
                <w:b w:val="0"/>
                <w:lang w:eastAsia="en-NZ"/>
              </w:rPr>
            </w:pPr>
            <w:r w:rsidRPr="00BE00C7">
              <w:rPr>
                <w:rFonts w:cs="Arial"/>
                <w:b w:val="0"/>
                <w:lang w:eastAsia="en-NZ"/>
              </w:rPr>
              <w:t>The RN roster covers seven days a week until 8 pm in the evening.</w:t>
            </w:r>
          </w:p>
          <w:p w:rsidR="00EB7645" w:rsidRPr="00BE00C7" w:rsidP="00BE00C7">
            <w:pPr>
              <w:pStyle w:val="OutcomeDescription"/>
              <w:spacing w:before="120" w:after="120"/>
              <w:rPr>
                <w:rFonts w:cs="Arial"/>
                <w:b w:val="0"/>
                <w:lang w:eastAsia="en-NZ"/>
              </w:rPr>
            </w:pPr>
            <w:r w:rsidRPr="00BE00C7">
              <w:rPr>
                <w:rFonts w:cs="Arial"/>
                <w:b w:val="0"/>
                <w:lang w:eastAsia="en-NZ"/>
              </w:rPr>
              <w:t>Two HCAs are rostered for a full eight-hour shift on the AM, PM and night shifts.  One healthcare assistant is responsible for two suites.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staff are rostered seven days a week.  There are separate cleaning staff available seven days a week.  Laundry, kitchen and cleaning services are outsourced.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four weekly robotic packs is completed by the RN and any errors fed back to the pharmacy.  Registered nurses, and medication competent HCAs who administer medications, have been assessed for competency.  Education around safe medication administration has been provided annually.  The service uses an electronic medication system.  Medications were stored safely in a central medication room.  The medication fridge is monitored weekly and medication room temperatures have commenced.  All eye drops and creams in medication trolleys were dated on opening.  There were four residents self-medicating on the day of audit and all residents had signed medication competencies on file.  The medications are not stored in resident rooms but are delivered to the residents at charted times.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All medication charts had photographs and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 and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cooked on site by contracted kitchen staff.  The cook is supported by a weekend cook and kitchenhands.  Staff have been trained in food safety and chemical safety.  All meals and baking are prepared and cooked on site.  The seasonal menu has been designed in consultation with the dietitian.  There is a food services manual in place to guide staff.  The registered food control plan has been verified and is due for renewal in June 2021.  A resident nutritional profile is developed for each resident on admission and this is provided to the kitchen staff.  This document is reviewed at least six-monthly as part of the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able to meet the needs of residents who require special diets, and the kitchen manager works closely with the clinical coordinator or RN on duty.  Meals are placed in the bain marie in the adjacent dining room and plated by kitchen and care staff.  Resident dislikes are accommodated and listed on a whiteboard and spreadsheet.  Alternative foods are available.  Cultural, religious and food allergies are accommodated.  Nutritious snacks are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end-cooked temperatures are taken and recorded daily.  The chilled goods temperature is checked on delivery.  Food serving temperatures are monitored and recorded.  All foods were date labelled.  A cleaning schedule is maintained for the kitchenhands.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resident survey and direct contact with the food services staff.  Residents and relatives interviewed, spoke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provided is consistent with the needs of residents as demonstrated in the review of the electronic care plans and discussion with HCAs, the clinical coordinator, activity staff and management.  Care plans reviewed were current and demonstrated interventions met the residents’ assessed needs.  RNs and HCAs report progress against the care plan when required or at least each shift.  If external nursing or allied health advice is required, the RNs will initiate a referral.  If external medical advice is required, this will be actioned by the GP or nurse practitioner.  Communication with family is documented on the family/whānau consultation sheet or in progress notes and this was documented well in all five resident files reviewed.  Short-term care plans are available for use for changes in health status.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Specialist continence advice is available as needed and this could be described by the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Monthly weighs have been completed in four files sampled with more frequent weights for a resident with weight loss.  Referral to dietitian occurs as required, as confirmed in sampled files.  Monitoring charts are in use for food and fluid intake.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plans and monitoring were in place for three residents with six wounds between them.  There were no pressure injuries.  All wounds have been reviewed in appropriate timeframes and specialised wound management advice through the district nursing service was evident in wounds reviewed.  Dressing supplies are available, and the treatment room is stocked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(qualified diversional therapist) and an activity assistant deliver the programme in association with HCAs and volunteers.  The programme runs over seven days per week.  A wide range of activities which support the abilities and needs of residents in the facility are provided.  Activities included physical, mental, spiritual and social aspects of life to improve and maintain residents’ wellbeing.  Residents are free to choose when and what activities they wish to participate in.  </w:t>
            </w:r>
          </w:p>
          <w:p w:rsidR="00EB7645" w:rsidRPr="00BE00C7" w:rsidP="00BE00C7">
            <w:pPr>
              <w:pStyle w:val="OutcomeDescription"/>
              <w:spacing w:before="120" w:after="120"/>
              <w:rPr>
                <w:rFonts w:cs="Arial"/>
                <w:b w:val="0"/>
                <w:lang w:eastAsia="en-NZ"/>
              </w:rPr>
            </w:pPr>
            <w:r w:rsidRPr="00BE00C7">
              <w:rPr>
                <w:rFonts w:cs="Arial"/>
                <w:b w:val="0"/>
                <w:lang w:eastAsia="en-NZ"/>
              </w:rPr>
              <w:t>On admission, an activity coordinator completes an assessment for each resident and an activity plan is completed.  A record is kept of individual resident’s activities and progress notes are completed monthly.  Reviews are conducted six-monthly (or earlier should the residents condition determine) as part of the care plan evaluation/review.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interviews confirmed they enjoy the variety of activities and are very satisfied with the activities programme.  Activities include outings as well as community involvement. </w:t>
            </w:r>
          </w:p>
          <w:p w:rsidR="00EB7645" w:rsidRPr="00BE00C7" w:rsidP="00BE00C7">
            <w:pPr>
              <w:pStyle w:val="OutcomeDescription"/>
              <w:spacing w:before="120" w:after="120"/>
              <w:rPr>
                <w:rFonts w:cs="Arial"/>
                <w:b w:val="0"/>
                <w:lang w:eastAsia="en-NZ"/>
              </w:rPr>
            </w:pPr>
            <w:r w:rsidRPr="00BE00C7">
              <w:rPr>
                <w:rFonts w:cs="Arial"/>
                <w:b w:val="0"/>
                <w:lang w:eastAsia="en-NZ"/>
              </w:rPr>
              <w:t>A monthly meeting is held where residents and relatives have input.  Minutes are recorded at the meeting and quality improvements identified and feedback given.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 or registered nurses evaluate all initial care plans within three weeks of admission.  Comprehensive evaluations reviewed were completed six-monthly by a RN and changes to care documented in the care plan.  Short-term care plans are evaluated and resolved or added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the residents three monthly or when requested, if issues arise or health status changes.  The nurse practitioner expressed satisfaction with the service and advised that nursing staff are prompt at informing changes in the residents’ condition and carry out instructions.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building warrant of fitness expires 4 December 2020.  CHT employs a full-time maintenance coordinator over four sites to ensure all reactive and planned maintenance is managed.  All medical and electrical equipment was serviced, tested and tagged and/or calibrated.  Hot water temperatures are monitored and managed within 43-45 degrees Celsius.  The facility has sufficient space for residents to mobilise using mobility aids.  The external area is well maintained.  Residents have access to safely designed external areas that have shade.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CHTs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quality meetings.  If there is an emergent issue, it is acted-upon in a timely manner.  Reports are easily accessible to the unit manager.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Covid-19 training has been provided.  All visitors and contractors are required to complete a health declaration which also serves as contact tracing.  Residents transferring from hospital or the community are placed in isolation for 14 days.  There are adequate hand sanitisers and signage throughout the facility.  There is an outbreak management bin and ample stock of personal protective equipment that is checked weekly.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 staff RN is the designated restraint coordinator.  Staff interviews, and staff records evidenced guidance has been given on restraint minimisation and safe practice (RMSP), enabler usage and prevention and/or de-escalation techniques.  Policies and procedures include definitions of restraints and enablers that are congruent with the definition in NZS 8134.0.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on RMSP/enablers begins during the new care staff’s orientation to the facility.  There were no residents with restraints or enablers at the time of the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Royal Oak Rest Home</w:t>
    </w:r>
    <w:bookmarkEnd w:id="58"/>
    <w:r>
      <w:rPr>
        <w:rFonts w:cs="Arial"/>
        <w:sz w:val="16"/>
        <w:szCs w:val="20"/>
      </w:rPr>
      <w:tab/>
      <w:t xml:space="preserve">Date of Audit: </w:t>
    </w:r>
    <w:bookmarkStart w:id="59" w:name="AuditStartDate1"/>
    <w:r>
      <w:rPr>
        <w:rFonts w:cs="Arial"/>
        <w:sz w:val="16"/>
        <w:szCs w:val="20"/>
      </w:rPr>
      <w:t>15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