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Chetty's Investment Limited - Glenbrook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Chetty's Investment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Glenbrook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November 2020</w:t>
      </w:r>
      <w:bookmarkEnd w:id="7"/>
      <w:r w:rsidRPr="009418D4">
        <w:rPr>
          <w:rFonts w:cs="Arial"/>
        </w:rPr>
        <w:tab/>
        <w:t xml:space="preserve">End date: </w:t>
      </w:r>
      <w:bookmarkStart w:id="8" w:name="AuditEndDate"/>
      <w:r w:rsidR="00A4268A">
        <w:rPr>
          <w:rFonts w:cs="Arial"/>
        </w:rPr>
        <w:t>6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Glenbrook Rest Home provides rest home level care for up to 23 residents.  On the day of the audit, there were 22 residents living at the facility.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general practitioner, and the owner/manager.  </w:t>
      </w:r>
    </w:p>
    <w:p w:rsidRPr="00A4268A">
      <w:pPr>
        <w:spacing w:before="240" w:line="276" w:lineRule="auto"/>
        <w:rPr>
          <w:rFonts w:eastAsia="Calibri"/>
        </w:rPr>
      </w:pPr>
      <w:r w:rsidRPr="00A4268A">
        <w:rPr>
          <w:rFonts w:eastAsia="Calibri"/>
        </w:rPr>
        <w:t>The registered nurse is recently appointed and is supported by a registered nurse who provides oversight of two facilities owned by the same owner/manager.  Residents and relatives interviewed were very complimentary of the services and care they receive.</w:t>
      </w:r>
    </w:p>
    <w:p w:rsidRPr="00A4268A">
      <w:pPr>
        <w:spacing w:before="240" w:line="276" w:lineRule="auto"/>
        <w:rPr>
          <w:rFonts w:eastAsia="Calibri"/>
        </w:rPr>
      </w:pPr>
      <w:r w:rsidRPr="00A4268A">
        <w:rPr>
          <w:rFonts w:eastAsia="Calibri"/>
        </w:rPr>
        <w:t xml:space="preserve">The service has addressed one of the three shortfalls identified at the previous certification audit around service agreements. Shortfalls continue to be required around adverse event documentation and medications. </w:t>
      </w:r>
    </w:p>
    <w:p w:rsidRPr="00A4268A">
      <w:pPr>
        <w:spacing w:before="240" w:line="276" w:lineRule="auto"/>
        <w:rPr>
          <w:rFonts w:eastAsia="Calibri"/>
        </w:rPr>
      </w:pPr>
      <w:r w:rsidRPr="00A4268A">
        <w:rPr>
          <w:rFonts w:eastAsia="Calibri"/>
        </w:rPr>
        <w:t>This surveillance audit identified areas for improvement around the quality improvement programme; timeframes to complete assessments and care plans; documentation of interventions and updating of the care plan as changes to interventions occur; and monitoring of food temperatures when food products are delivered.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An owner/manager and registered nurse are responsible for the day-to-day operations.  Goals are documented for the service with evidence of regular reviews.  A quality and risk management programme is documented, and data collected.  Corrective action plans are documented when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at least 40 hours a week with registered nurse cover at all times.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service provision with this including assessment and development of the care plan.  Care plans reviewed in resident records demonstrated service integration.  Resident files included the general practitioner, and allied health notes.  </w:t>
      </w:r>
    </w:p>
    <w:p w:rsidRPr="00A4268A" w:rsidP="00621629">
      <w:pPr>
        <w:spacing w:before="240" w:line="276" w:lineRule="auto"/>
        <w:rPr>
          <w:rFonts w:eastAsia="Calibri"/>
        </w:rPr>
      </w:pPr>
      <w:r w:rsidRPr="00A4268A">
        <w:rPr>
          <w:rFonts w:eastAsia="Calibri"/>
        </w:rPr>
        <w:t xml:space="preserve">Medications are administered using an electronic management system.  The registered nurse and staff complete an annual competency assessment and receive annual education.  There is evidence of the three-monthly medication reviews being completed by the general practitioner.  </w:t>
      </w:r>
    </w:p>
    <w:p w:rsidRPr="00A4268A" w:rsidP="00621629">
      <w:pPr>
        <w:spacing w:before="240" w:line="276" w:lineRule="auto"/>
        <w:rPr>
          <w:rFonts w:eastAsia="Calibri"/>
        </w:rPr>
      </w:pPr>
      <w:r w:rsidRPr="00A4268A">
        <w:rPr>
          <w:rFonts w:eastAsia="Calibri"/>
        </w:rPr>
        <w:t xml:space="preserve">All meals and baking are done on-site.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r w:rsidRPr="00A4268A">
        <w:rPr>
          <w:rFonts w:eastAsia="Calibri"/>
        </w:rPr>
        <w:t>One activity coordinator oversees the activity programme for the residents.  The programme includes community visitors and outings, entertainment and activities that meet the individual recreational, physical, cultural, and cognitive abilities and preferences.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There is a preventative and planned maintenance schedule in place.  Equipment is tested, tagged, and calibrated.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No restraint was used during the audit and four enablers were in use (Adams poles).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6"/>
        <w:gridCol w:w="1280"/>
        <w:gridCol w:w="101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provided to residents and families during the resident’s entry to the service.  Access to complaints forms are available in a visible location.  A complaints register is in place.  One complaint has been lodged on the complaints register since the last audit.  A review of the complaint confirmed that an investigation had taken plan in a timely manner with confirmation that the complainant was satisfied with the outcome.  An open-door policy is in place.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five residents and three families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from external authorities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family members interviewed confirmed they are kept informed of the resident’s status, including any events adversely affecting the resident.  Eleven accident/incident forms reviewed reflected documented evidence of families being informed following an adverse event when the event warranted this as per discussion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Families and staff are utilised in the first instance.  There were no residents at the facility who were unable to speak or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Glenbrook Rest Home provides rest home level care for up to 23 residents.  On the day of the audit, there were 22 residents at the facility including two using respite care.  All residents were on the Aged Related Residential Care (ARRC) agreement. A philosophy, mission, vision, and values are in place.  The strategic and business plan (2020) is regularly reviewed by the owner/manager of the rest home.  Goals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has been managing this facility for two years and also manages a rest home in Otahuhu, Auckland.  The owner/manager reported that they are on-site at Glenbrook Rest Home seven days a week.  The owner/manager is supported by a registered nurse (RN) who provides support for both registered nurses at the two rest homes. The registered nurse providing oversight has 20 years’ experience in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has been in the role since June 2020. This is the registered nurses first placement in aged care services however they have a background overseas in intensive and critical care for four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has maintained a minimum of eight hours of professional development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understood by the managers and staff and is being implemented as confirmed during interviews with the owner/manager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These policies have been developed by an external consultant.  They are reviewed regularly as per the document review schedule.  New policies and policy amendments are discussed with staff.  The consultant supports the RN and the service through on-site visits and facilitation of ongoing training along with review of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the internal audit programme, incident and accident reporting, infection control data collection, resident/family satisfaction surveys and complaints received (if any). An audit schedule is implemented in a timely manner.  Data is collated, analysed, and shared with staff through the staff meeting held monthly. When improvements are identified, corrective actions are documented.  Resolution of issues when these arise from completion of audits is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is in place.  Health and safety policies have been updated to reflect current legislative requirements.  Staff health and safety training begins during their orientation to the service.  Health and safety is a regular agenda item covered in the staff meetings.  Actual and potential risks are documented on a hazard register, which identifies risk ratings and documents actions to eliminate or minimise the risk.  Newly identified hazards are documented on a hazard identification form.  Contractors are orientated to the facility’s health and safety programme. The health and safety representative interviewed was able to describe the role as escalating and managing issues identified by staff.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decluttering residents’ rooms and intentional rounding.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accident/incident forms were reviewed.  Each event involving a clinical adverse event reflected a clinical assessment and follow up by the RN.  Accident/incident forms (implemented in September and October 2020) reflected documented evidence of an RN investigation. The recommendation related to investigation of incidents identified at the certification audit has been addressed.   Neurological observations are conducted by the caregivers for unwitnessed falls.  however, these are not documented as per policy.  This criterion around adverse event follow up remains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reported that they contact the RN and are given directions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aware of statutory responsibilities in regard to essential notifications. There have not been any section 31 reports that have had to be completed since the last audit. The Ministry of Health and the DHB have been notified of the appointment of a new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Five staff files reviewed (two caregivers, one registered nurse, one cook, one activities coordinator/caregiver) included evidence of the recruitment process (e.g., reference checking, signed employment contracts, signed job descriptions, and completed orientation programmes).  The orientation programme provides new staff with relevant information for safe work practice.  Staff interviewed stated that they believed new staff were adequately orientated to the service.  The new registered nurse states that they have had a comprehensive orientation and are fully supported by the experienced registered nurse who is on site five days a week. Documentation reviewed confirmed the orientation programme. Staff are given annual performance appraisals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provided for staff that exceeds eight hours per year.  The majority of in-services are conducted by an external consultant.  Competencies completed include death and dying; infection control; behaviour management; medication; first aid; abuse/neglect; fire evacuation; and personal care/hygiene.  Medication competencies are repeated annually.  The registered nurse has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aligns with contractual requirements.  The owner/manager reports that they are on-site seven days a week and enjoys coming to the facility over the weekends to speak with families and residents.  The registered nurse is on-site five days week (minimum of 36 hours per week). They live on site and respond to any on call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second experienced RN currently provides on-site support five days a week for the registered nurse and would be able to cover any registered nurse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caregivers available.  Two (long-shift) caregivers are rostered on the AM shift, and two caregivers (one long shift and one short shift) are rostered on the PM shift.  One caregiver is rostered during the night shift.  Caregivers are responsible for laundry and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staff is rostered for activities.  The activities coordinator works four days a week and provides 16 hours of activities.  </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families confirmed staffing overall was adequate to meet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bureau staff used and caregivers provide cover when others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timely and respectful manner.  Pre-admission information packs include information on the services provided for resident and families.  All residents had a copy of the updated admission agreement with this signed on the day of admission or within three days.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shortfall identified at the certification audit related to each resident having an updated agreement has been addressed.  Residents and the family member interviewed stated that they had received the information pack and had received sufficient information prior to and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medications are stored appropriately.  The service uses an electronic management system for medication.  Ten medication charts were reviewed.  All medication charts sampled were legible, up to date and reviewed at least three-monthly by the GP.  All ‘as required’ medication charted included an indication for use.  All medication signing sheets were signed following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and caregivers who administer medications had been assessed for competency and attended education on an annual basis.  A caregiver was observed to be safely administering medications on the day of audit.  All medications are checked on delivery against the medication chart and any discrepancies are fed back to the supplying pharmacy.  There are no standing orders in use.  The ambient temperature of the medication room is taken weekly.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two rest home residents who self-administer medication and one resident interviewed confirmed that they inform the nurse manager when taken.  Staff interviewed confirm that both residents inform staff when they have taken their medication.  Each resident has a competency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one bottle of liquid medication is used for any resident prescribed this. The shortfall identified at the certification audit remains. There are also shortfalls identified around a prescription and documentation of allergies for residents in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cook and a chef who work four days on and four off.  They prepare the evening meal and the caregivers heat and serve this.  Both have current food safety certificates.  There is a small but well-equipped kitchen, and all meals are cooked on-site.  Meals are served from the kitchen, which opens into the dining room.  Residents eating in their rooms have meals delivered on trays with the food covered and kept warm.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Kitchen refrigerator, food and freezer temperatures were monitored and recorded daily.  Temperatures of food, when delivered has not been taken since September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were noted on the kitchen noticeboard, which can be viewed only by kitchen staff.  An external dietitian has approved the menus in 2018.  The service has been verified against the Food Control Plan as per current legislation.  Residents and families interviewed were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follow the care plan and report progress against the plan at least daily or more frequently if needed.  If external nursing or allied health advice is required, the RN will initiate a referral.  If external medical advice is required, this will be actioned by the GP.  Staff have access to sufficient medical supplies (e.g., dressings).  Sufficient continence products are available and resident files include a continence assessment and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wounds were reviewed (one skin tear and two scratches).  Wound assessments and care plans or short-term care plans were not documented for the wounds. The wounds have been reviewed in appropriate timeframes.  The RN has access to specialist nursing wound care management advice, and this could be described at interview.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two RNs and caregivers demonstrated an understanding of the individualised needs of residents.  Monitoring charts are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interventions were well documented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is employed to cover four hours a day, for four days a week to coordinate the activities programme for all residents.  They are assisted by a caregiver one additional day a week.  There are also occasional weekend activities.  Each resident has an individual activities assessment undertaken as part of the interRAI assessment (link 1.3.6.1) and from this information, an individual activities plan is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is free to choose whether they wish to participate in the activities programme.  Participation is monitored.  There is community involvement which includes visits from children, visits to the community and church visits.  The facility has its own van for outings with a second van from a sister facility able to be used if needed.  Recent activities have included discussion groups, sing-a-longs, bingo, and quizzes.  Hand massages and individual activities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have a recent activities assessment and plan within the care plan (LTCP) and this is evaluated at least six-monthly when the care plan is evaluated.  Residents and the family member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at least six-monthly or earlier if there is a change in health status in files sampled.  Four of the five files reviewed all have an interRAI re- assessment and an in-depth evaluation of care (link 1.3.6.1).  One resident did not require evaluation of the care plan at this point.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at least a three-monthly review by the GP in the files reviewed.  Care plan reviews are signed by the RN in files sampled.  Short-term care plans reviewed were evaluated and resolved or added to the long-term care plan if the problem was ongoing, in resident files sampled. At times, the care plan is updated as changes to interventions occur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31 May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manages the reactive and preventative maintenance.  When an issue requiring maintenance is noticed, the owner/manager ensures that it is completed.  External contractors are engaged to complete work as required.  A sample of hot water temperatures are taken monthly, and these are maintained at (or just below) 45 degrees.  Medical equipment is maintained and 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facility's amenities, fixtures, equipment, and furniture are appropriate for the level of service contracted.  There is sufficient space to allow residents to move around the facility freely.  The hallways are wide enough for appropriate traffic.  There is non-slip linoleum in showers and toilet areas throughout the facility.  The main hallways and living areas are carpeted.  The lounge areas are designed so that space and seating arrangements provide for individual and group activities.  Residents’ bedrooms throughout the facility have resident's own personal belongings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and garden areas surrounding the facility are well maintained and have decking and shade.  There is a designated outdoor smoking area. </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outlined in the infection prevention and control programme and described in policy.  The surveillance activities are appropriate to the size of the service.  The infection control coordinator (registered nurse) oversees the monitoring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data is documented.  Monthly analysis is completed and reported at monthly staff meetings, which are a standing agenda item.  The service collected all infections and as well as aggregated data for all residents, each resident has an infection log.  Three of the five resident files reviewed had a log completed with all infections logged appropriately and captured in infection control data.  These logs are used to assist the six-monthly resident reviews and three-monthly GP reviews.  There have been no outbreaks of infection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provided comprehensive information around Covid to family, residents, and staff. There is sufficient PPE to manage any outbreak for at least two weeks. There is a Covid 19 plan in place to manage any risks or changes in practice should there be an outbreak. The two RNs interviewed could describe donning and doffing of PPE and set up of an isolation room if required. There are paper towels in each room including bathrooms and pump soap. There have not been any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No residents were using restraints and four were using enablers (Adams pole or monkey bar to help them to get out of bed).  The registered nurse is the designated restraint coordinator.  They are knowledgeable regarding minimising the use of restraints.  Staff receive training on restraint minimisation, which begins during their orientation to the service.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6"/>
        <w:gridCol w:w="1280"/>
        <w:gridCol w:w="5070"/>
        <w:gridCol w:w="2458"/>
        <w:gridCol w:w="21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documented. Audits are completed and corrective action plans documented when issues or gaps are identified. The evidence of resolution is not linked to the audit and although the registered nurse who completes the audit is able to show evidence of resolution, this would not be able to be identified on the audit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evidence of resolution of issues when corrective action are identified i.e. through audits.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documentation of resolution of issues as these arise.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 forms (implemented in September and October 2020) reflected documented evidence of an RN investigation. The recommendation related to investigation of incidents identified at the certification audit has been addressed.   Neurological observations are conducted by the caregivers for unwitnessed falls.  however, these are not documented as per policy.  This criterion around adverse event follow-up remains an area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four incidents that involved a head injury or that was not witnessed did not have neurological observations taken as per policy. The shortfall identified at the previous audit remains.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are taken as per policy for a resident who has an unwitnessed fall or who has sustained an injury to their head as a result of a fall.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bottle of any liquid medication is put onto the trolley e.g. lactulose and all residents prescribed this have the medicine administered from the single bottle.  This remains a corrective action from the certification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using respite care bring in medications with a prescription in one of the three files reviewed and a signing sheet. Allergies are documented in the resident file for two of three respite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Staff do not administer liquid medication from a bottle prescribed to them but use one opened bottle on the medication trolley.  The corrective action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of three resident medication files (respite) did not include a copy of the prescription.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respite resident file did not include allergies documented on the medication chart or in the file, and these were not documented in the medication signing sheets or prescription for the other two respite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Administer medication only from a bottle prescribed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 copy of the prescription is provided for respite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allergies are documented in the resident file and the medication folder for respite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of food when delivered is expected to be taken on delivery. The cook gave an example of turning a delivery away when the delivery had been four hours late.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Temperatures of food when delivered has not been taken since September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temperature of food when delivered is taken and maintains temperatures with normal range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for completion of interRAI assessments are documented in the policy. The registered nurse who provides oversight of two facilities including Glenbrook Rest Home stated that they had difficulty completing these during lock down (Covid 19 pandemic) and had also had the resignation of the registered nurse who had previously been completing these.  </w:t>
            </w:r>
          </w:p>
          <w:p w:rsidR="00EB7645" w:rsidRPr="00BE00C7" w:rsidP="00BE00C7">
            <w:pPr>
              <w:pStyle w:val="OutcomeDescription"/>
              <w:spacing w:before="120" w:after="120"/>
              <w:rPr>
                <w:rFonts w:cs="Arial"/>
                <w:b w:val="0"/>
                <w:lang w:eastAsia="en-NZ"/>
              </w:rPr>
            </w:pPr>
            <w:r w:rsidRPr="00BE00C7">
              <w:rPr>
                <w:rFonts w:cs="Arial"/>
                <w:b w:val="0"/>
                <w:lang w:eastAsia="en-NZ"/>
              </w:rPr>
              <w:t>Four long term resident files were reviewed for completion of documentation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four resident files did not evidence completion of the initial interRAI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Three of four resident files did not evidence completion of the initial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care plan had been reviewed prior to the interRAI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(iv). One care plan had not been reviewed six monthly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(i)-(iv). Ensure that timeframes for completion of initial interRAI and care plans and ongoing documentation of interRAIs and review of care plans is completed in a timely manner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wounds on the wound register were reviewed (one skin tear and two scratches).  Reference to the wounds were documented in the progress notes. A wound assessment and care plans or short-term care plan was not documented for the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interventions were well documented in resident files reviewed. This included a lack of interventions documented in the care plan for a resident who wanders with some aggressive behaviour; interventions for weight loss; and generic interventions for a resident with falls. The care plan did not reference updates for interventions as these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Wound assessments and care plans are not well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care plan did not include individualised interventions for specific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care plan was not always updated with interventions as these changed.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Document wound assessments and care plans and refer to these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Document individualised interventions for specific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(ii). Update the care plan with interventions as these change.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Chetty's Investment Limited - Glenbrook Rest Home</w:t>
    </w:r>
    <w:bookmarkEnd w:id="58"/>
    <w:r>
      <w:rPr>
        <w:rFonts w:cs="Arial"/>
        <w:sz w:val="16"/>
        <w:szCs w:val="20"/>
      </w:rPr>
      <w:tab/>
      <w:t xml:space="preserve">Date of Audit: </w:t>
    </w:r>
    <w:bookmarkStart w:id="59" w:name="AuditStartDate1"/>
    <w:r>
      <w:rPr>
        <w:rFonts w:cs="Arial"/>
        <w:sz w:val="16"/>
        <w:szCs w:val="20"/>
      </w:rPr>
      <w:t>5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