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Millstream</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Millstream</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November 2020</w:t>
      </w:r>
      <w:bookmarkEnd w:id="7"/>
      <w:r w:rsidRPr="009418D4">
        <w:rPr>
          <w:rFonts w:cs="Arial"/>
        </w:rPr>
        <w:tab/>
        <w:t xml:space="preserve">End date: </w:t>
      </w:r>
      <w:bookmarkStart w:id="8" w:name="AuditEndDate"/>
      <w:r w:rsidR="00A4268A">
        <w:rPr>
          <w:rFonts w:cs="Arial"/>
        </w:rPr>
        <w:t>27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Radius Millstream is owned and operated by Radius Residential Care Limited.  The service provides cares for up to 99 residents requiring rest home, hospital (medical and geriatric) or dementia level care.  On the day of the audit, there were 86 residents.  The service is managed by a facility manager who has been in the role since 2016 with support from the Radius regional manager, and a clinical nurse manager.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This audit identified areas for improvement around neurological observations and care plan interventions.  </w:t>
      </w:r>
    </w:p>
    <w:p w:rsidRPr="00A4268A">
      <w:pPr>
        <w:spacing w:before="240" w:line="276" w:lineRule="auto"/>
        <w:rPr>
          <w:rFonts w:eastAsia="Calibri"/>
        </w:rPr>
      </w:pPr>
      <w:r w:rsidRPr="00A4268A">
        <w:rPr>
          <w:rFonts w:eastAsia="Calibri"/>
        </w:rPr>
        <w:t xml:space="preserve">The service has exceeded the standard around communication and reducing unintentional weigh loss in the dementia unit.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w:t>
      </w:r>
    </w:p>
    <w:p w:rsidRPr="00A4268A">
      <w:pPr>
        <w:spacing w:before="240" w:line="276" w:lineRule="auto"/>
        <w:rPr>
          <w:rFonts w:eastAsia="Calibri"/>
        </w:rPr>
      </w:pPr>
      <w:r w:rsidRPr="00A4268A">
        <w:rPr>
          <w:rFonts w:eastAsia="Calibri"/>
        </w:rPr>
        <w:t xml:space="preserve">The personal privacy and values of residents are respected.  There is a Māori health plan and cultural safety policy supporting practice.  Cultural assessment is undertaken on admission and during the review process.  Discussions with residents and relatives confirmed that residents and where appropriate their families are involved in care decisions. Care plans accommodate the choices of residents and/or their family.  Regular contact is maintained with families including if a resident is involved in an incident or has a change in their current health.  Families and friends are able to visit residents at times that meet their needs.  Examples of good practice were provided. </w:t>
      </w:r>
    </w:p>
    <w:p w:rsidRPr="00A4268A">
      <w:pPr>
        <w:spacing w:before="240" w:line="276" w:lineRule="auto"/>
        <w:rPr>
          <w:rFonts w:eastAsia="Calibri"/>
        </w:rPr>
      </w:pPr>
      <w:r w:rsidRPr="00A4268A">
        <w:rPr>
          <w:rFonts w:eastAsia="Calibri"/>
        </w:rPr>
        <w:t>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nurse manager are responsible for the day-to-day operations.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Residents meetings are held monthly, and residents and families are surveyed annually.  Health and safety policies, systems and processes are implemented to manage risk.  Incidents and accidents are reported.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that is specific to their role and responsibilities.  Ongoing education and training programmes are in place, which include in-service education and competency assessments.</w:t>
      </w:r>
    </w:p>
    <w:p w:rsidRPr="00A4268A">
      <w:pPr>
        <w:spacing w:before="240" w:line="276" w:lineRule="auto"/>
        <w:rPr>
          <w:rFonts w:eastAsia="Calibri"/>
        </w:rPr>
      </w:pPr>
      <w:r w:rsidRPr="00A4268A">
        <w:rPr>
          <w:rFonts w:eastAsia="Calibri"/>
        </w:rPr>
        <w:t>There is a roster that provides sufficient and appropriate coverage for the effective delivery of care.  Residents and families report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included medical notes by the contracted general practitioners and visiting allied health professionals.</w:t>
      </w:r>
    </w:p>
    <w:p w:rsidRPr="00A4268A" w:rsidP="00621629">
      <w:pPr>
        <w:spacing w:before="240" w:line="276" w:lineRule="auto"/>
        <w:rPr>
          <w:rFonts w:eastAsia="Calibri"/>
        </w:rPr>
      </w:pPr>
      <w:r w:rsidRPr="00A4268A">
        <w:rPr>
          <w:rFonts w:eastAsia="Calibri"/>
        </w:rPr>
        <w:t>The activity team implement the activity programme to meet the individual needs, preferences, and abilities of the residents.  Residents are encouraged to maintain community links.  There are regular entertainers, outings, and celebrations.</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senior healthcare assistants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All meals are cooked on site.  The kitchen service is provided by an external catering company who employ the kitchen staff at Radius Millstream.  The menu has been approved by a dietitian, there is a current food control plan in place.  Individual and special dietary needs are catered for.  Alternative options are able to be provided.  Residents and relatives interviewed were satisfied with the food service.  Snacks are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maintenance issues are addressed.  Chemicals are stored safely throughout the facility.  All bedrooms are single occupancy and most have their own ensuite.  There is sufficient space to allow the movement of residents around the facility using mobility aids.  There are a number of small lounges and dining areas throughout the facility in addition to its main communal areas.  The internal areas are able to be ventilated and heated.  The outdoor areas are safe and easily accessible, and the dementia garden is secure.  Cleaning and laundry staff are providing appropriate services. </w:t>
      </w:r>
    </w:p>
    <w:p w:rsidRPr="00A4268A">
      <w:pPr>
        <w:spacing w:before="240" w:line="276" w:lineRule="auto"/>
        <w:rPr>
          <w:rFonts w:eastAsia="Calibri"/>
        </w:rPr>
      </w:pPr>
      <w:r w:rsidRPr="00A4268A">
        <w:rPr>
          <w:rFonts w:eastAsia="Calibri"/>
        </w:rPr>
        <w:t xml:space="preserve">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facility is restraint-free.  Staff receive regular education and training on restraint minimisation and managing challenging behaviours.  There were no enablers in use at the time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facility has responded promptly and appropriately to the Covid pandemic, and Ministry of Health and Public Health directives.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79"/>
        <w:gridCol w:w="1280"/>
        <w:gridCol w:w="100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annual in-service programme.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staff including, including eight health care assistants (HCA), five registered nurses (RN) and three activities assistants, two housekeepers, one kitchen manager and one maintenance and property officer confirmed their familiarity with the Health and Disability Commissioner (HDC)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Four residents (two rest home and two hospital) and six relatives (three hospital and three dementia care) were interviewed and confirmed the services being provided are in line with the Code.  Observation during the audit confirmed this in practice.  Staff received training on the Code, last occurring in October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consents are signed by the resident or their enduring power of attorney (EPOA).  All residents in the dementia unit have an activated EPOA.  Advanced directives are signed for separately.  There was evidence of discussion with family when the general practitioner completed a clinically indicated not for resuscitation order.  The files in the hospital and rest home areas had an informed consent signed with this scanned into the electronic system.  Separate consent forms had been completed for flu vaccinations.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and registered nurses interviewed confirmed that verbal consent is obtained when delivering care.  Discussion with family members identified that the service actively involves them in decisions that affect their relative’s lives.  Staff working in the dementia unit also stated that they actively engaged with residents to give choice around activities of daily living.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had a signed admission agreement and consents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e.g. attending local community events and cafes.  Interview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at the entrance to the facility.  Information about complaints is provided on admission.  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includes complaints received, dates and actions taken.  Complaints are being managed in a timely manner, meeting requirements determined by the Health and Disability Commissioner (HDC).  They are signed off by the facility manager when closed.  There is evidence of lodged complaints being discussed in the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Six complaints were lodged in 2019 and seven in 2020 (year to date).  One of the complaints received during June 2020 was made through the district health board (DHB).  The complaint was investigated, and no fault was found with the facility.  All complaints were reviewed and confirmed adherence to HDC response timelines.  A detailed investigation was completed for each complaint.  Complainants are given the contact details of HDC if they are not satisfied with the outcome.  All complaints in the register (2019, 2020) have been documented 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information pack to prospective residents that includes information about the Code, complaints, and advocacy.  Information is given to the family or the enduring power of attorney (EPOA) to read to and/or discuss with the resident.  Residents and relatives interviewed identified they are well informed about the Code of Rights.  Bi-monthly resident meetings provide the opportunity to raise concerns.  An annual residents/relatives survey is completed.</w:t>
            </w:r>
          </w:p>
          <w:p w:rsidR="00EB7645" w:rsidRPr="00BE00C7" w:rsidP="00BE00C7">
            <w:pPr>
              <w:pStyle w:val="OutcomeDescription"/>
              <w:spacing w:before="120" w:after="120"/>
              <w:rPr>
                <w:rFonts w:cs="Arial"/>
                <w:b w:val="0"/>
                <w:lang w:eastAsia="en-NZ"/>
              </w:rPr>
            </w:pPr>
            <w:r w:rsidRPr="00BE00C7">
              <w:rPr>
                <w:rFonts w:cs="Arial"/>
                <w:b w:val="0"/>
                <w:lang w:eastAsia="en-NZ"/>
              </w:rPr>
              <w:t>Large print posters of the Code and advocacy information are displayed throughout the facility.  A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During the audit, staff were observed to be respectful of residents’ privacy by knocking on doors prior to entering resident rooms.  Staff interviewed could describe the procedures for maintaining confidentiality of resident records, resident’s privacy and dignity.  Residents and relatives interviewed confirmed that staff treat residents with respect.  Staff could describe definitions around abuse and neglect that aligned with policy.</w:t>
            </w:r>
          </w:p>
          <w:p w:rsidR="00EB7645" w:rsidRPr="00BE00C7" w:rsidP="00BE00C7">
            <w:pPr>
              <w:pStyle w:val="OutcomeDescription"/>
              <w:spacing w:before="120" w:after="120"/>
              <w:rPr>
                <w:rFonts w:cs="Arial"/>
                <w:b w:val="0"/>
                <w:lang w:eastAsia="en-NZ"/>
              </w:rPr>
            </w:pPr>
            <w:r w:rsidRPr="00BE00C7">
              <w:rPr>
                <w:rFonts w:cs="Arial"/>
                <w:b w:val="0"/>
                <w:lang w:eastAsia="en-NZ"/>
              </w:rPr>
              <w:t>The 2020 satisfaction survey identified 98% of residents were happy with privacy.  Contact details of spiritual/religious advisors are available.  Staff education and training on abuse and neglect has been provided, last occurring in May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Millstream has a Māori health plan that includes a description of how they achieve the requirements set out in the contract.  There are supporting policies that provide recognition of Māori values and beliefs and identify culturally safe practices for Māori.  At the time of audit there were no residents who identified as Māori.  Staff interviewed were able to demonstrate a knowledge of cultural practises.</w:t>
            </w:r>
          </w:p>
          <w:p w:rsidR="00EB7645" w:rsidRPr="00BE00C7" w:rsidP="00BE00C7">
            <w:pPr>
              <w:pStyle w:val="OutcomeDescription"/>
              <w:spacing w:before="120" w:after="120"/>
              <w:rPr>
                <w:rFonts w:cs="Arial"/>
                <w:b w:val="0"/>
                <w:lang w:eastAsia="en-NZ"/>
              </w:rPr>
            </w:pPr>
            <w:r w:rsidRPr="00BE00C7">
              <w:rPr>
                <w:rFonts w:cs="Arial"/>
                <w:b w:val="0"/>
                <w:lang w:eastAsia="en-NZ"/>
              </w:rPr>
              <w:t>Māori consultation is available through a representative of the Hakatere Marae.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whānau as appropriate/able are invited to be involved.  Individual beliefs or values are further discussed and incorporated into the care plan.  Six monthly case conference team meetings occur to assess if needs are being met.  Family are invited to attend.  Discussions with relatives confirmed that residents’ values and beliefs are considered.  Residents interviewed confirmed that staff take into account their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staff (team) meetings and toolbox talks include discussions around professional boundaries and concerns noting that because of the Covid pandemic, some meetings have had to be postponed and toolbox sessions have taken their place.  </w:t>
            </w:r>
          </w:p>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Interviews with the care staff confirmed their understanding of professional boundaries including the boundaries of the healthcare assistants’ role and responsibilities.  The staff/quality meetings occur monthly and include discussions on professional boundaries and concerns as they arise.  Management provide guidelines and mentoring for specific situations.  Interviews with the facility manager, clinical nurse manager and RNs confirmed an awareness of professional boundaries.</w:t>
            </w:r>
          </w:p>
          <w:p w:rsidR="00EB7645" w:rsidRPr="00BE00C7" w:rsidP="00BE00C7">
            <w:pPr>
              <w:pStyle w:val="OutcomeDescription"/>
              <w:spacing w:before="120" w:after="120"/>
              <w:rPr>
                <w:rFonts w:cs="Arial"/>
                <w:b w:val="0"/>
                <w:lang w:eastAsia="en-NZ"/>
              </w:rPr>
            </w:pPr>
            <w:r w:rsidRPr="00BE00C7">
              <w:rPr>
                <w:rFonts w:cs="Arial"/>
                <w:b w:val="0"/>
                <w:lang w:eastAsia="en-NZ"/>
              </w:rPr>
              <w:t>A review of incidents and complaints for 2020 did not identify any evidence of discrimination.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Radius quality programme is designed to monitor contractual and standards compliance and the quality of service delivery in the facility.  Staffing policies include pre-employment, and the requirement to attend orientation and on-going in-service training.  Policies and procedures have been reviewed and updated at organisational level and are available to staff.  Staff meetings and residents’ meetings have been conducted.  Residents and relatives interviewed spoke positively about the care and support provided.  Staff had a sound understanding of principles of aged care and state that they feel supported by the facility manager, clinical nurse manager and nursing staff.  There are implemented competencies for HCAs and RNs.  There are clear ethical and professional standards and boundaries within job descriptions.  The quality programme has identified opportunities for improvement and initiatives have been implemented in several areas including prevention and management of skin tears, prevention of urinary tract infections and preventing weight loss in dementia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residents.  Fifteen incidents/accidents sampled confirmed this.  Resident/relative meetings are held bi-monthly.  The facility manager and clinical nurse manager have an open-door policy.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Millstream is part of the Radius Residential Care group.  The service provides rest home, hospital (medical and geriatric) and dementia level care for up to 80 residents in the care centre and rest home level care across 19 serviced apartments certified for up to 9 residents.  On the day of the audit there were 86 residents 45 rest home including one respite resident, 23 hospital and 18 dementia level residents).  All hospital and rest home beds in the care centre are dual-purpose beds.  All residents were under the aged related residential care (ARRC) contract.  There were no rest home level of care residents in the serviced apartments.  These apartments are leased and managed by Radius Millstream.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Millstream have business goals for 1 April 2020 to 31 March 2021 related to Radius organisational strategic plans.  There are reviews of progress through management reports.  The facility manager has been in the role for five years.  She is supported by a clinical nurse manager, who has been in the role since February 2018 and an office manager. The regional manager also supports the facility manager in the management role and was present during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maintained more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facility manager, the clinical nurse manager is in charge with support from the regional manager, registered nurses, and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are reported across facility meetings and to the regional manager.  Discussions with the managers (regional manager, facility manager, and clinical nurse manager/RN) and staff reflected their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meetings are bi-monthly with evidence of their active participation.  Annual resident and relative surveys were last completed in March 2020 with 31 respondents.  Approximately 82% of residents and families who participated in the survey expressed their satisfaction of the expectations of Radius Millstream.  The outcome of the survey and analysis report were reported at the quality staff and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The service's policies are reviewed at a national level by the clinical managers group, with input from facility staff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The facility has implemented established processes to collect, analyse and evaluate data, which are utilised for service improvements.  Internal audits are completed as per the audit schedule.  Quality results are communicated to staff in meetings and on staff noticeboards.  Corrective action plans are implemented where results reflect opportunities for improvements.  Corrective actions are signed off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health and safety committee.  Three trained health and safety officers  (including the assistant facility coordinator, HCA, and maintenance staff) were interviewed during the audit.  They are supported by two health and safety representatives.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All new staff and contractors undergo a health and safety orientation programme with evidence sighted of staff and contractors participating in annual health and safety refresher programmes.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being implemented.  The physiotherapist assesses all new residents.  Re-assessments are completed six monthly and post falls.  Interventions to reduce the risk of residents falling include (but are not limited to) intentional rounding, clip on movement sensors sensor mats, and perimeter mats.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and enabler use is reviewed at monthly staff and quality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Incidents are included in the Radius key performance indicators (KPI).  There is discussion of incidents/accidents at the monthly staff/quality meetings including actions to minimise recurrence.  A review of fifteen incident/accident forms from October 2020 on the electronic system identified that forms are fully completed and include follow-up by a RN.  Neurological observations were commenced for eight reviewed unwitnessed falls or suspected injury to the head. Not all neurological observations were completed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regional manager confirmed that there is an awareness of the requirement to notify relevant authorities in relation to essential notifications.  There have been nine section 31 notifications made since the last audit for one stage 3 pressure injury and eight resident aggression events.   The service has provided training including dementia, delirium and challenging behaviours during Oct 2020.  Care plans sighted included management of individual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Nine staff files reviewed (one clinical nurse manager, two RNs, four HCAs, two cleaners) included documentation to confirm a recruitment process was undertaken (interview process, reference checking, police checks).  Also sighted were signed employment contracts, job descriptions and completed orientation programmes.  A register of registered nursing staff and other health practitioner practising certificates are maintained.  Registered nurses are supported to maintain their professional competency.  Four of nine registered nurses have completed their interRAI training.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an implemented annual education and training plan that exceeds eight hours annually.  Annual and two-yearly core compulsory topics are scheduled with staff expected to complete a written core competency for each topic (e.g., code of rights, cultural safety, aging process, abuse/neglect, sexuality and intimacy, restraint minimisation, informed consent, communication, accident and incident reporting, infection control, emergency procedures, fire safety, health and safety, food handling, chemical handling, challenging behaviours, continence management).  There is an attendance register for each training session and an individual staff member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Ten HCAs are employed to work in the dementia unit.  Nine have completed their dementia qualification (unit standards 2390, 2391, 23922 and 23923).  The remaining HCA has been working in the unit for less than eighteen months and is in the process of completing their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staff performance appraisals are undertaken.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Radius Millstream maintains staffing levels that reflect the needs of the residents in all levels of care.  The facility manager and clinical manager work 40 hours per week and are available on-call for any emergency issues or clinical support.  </w:t>
            </w:r>
          </w:p>
          <w:p w:rsidR="00EB7645" w:rsidRPr="00BE00C7" w:rsidP="00BE00C7">
            <w:pPr>
              <w:pStyle w:val="OutcomeDescription"/>
              <w:spacing w:before="120" w:after="120"/>
              <w:rPr>
                <w:rFonts w:cs="Arial"/>
                <w:b w:val="0"/>
                <w:lang w:eastAsia="en-NZ"/>
              </w:rPr>
            </w:pPr>
            <w:r w:rsidRPr="00BE00C7">
              <w:rPr>
                <w:rFonts w:cs="Arial"/>
                <w:b w:val="0"/>
                <w:lang w:eastAsia="en-NZ"/>
              </w:rPr>
              <w:t>There is 24-hour RN cover 7 days a week in the hospital wing with 22 hospital and 15 rest home residents.  On morning shift there are six HCA’s (three long and three short).  On afternoon shift there are five HCA’s (three long and two short).  On night shift two HCA’s support the RN.</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wing there are 18 residents.  There are two HCA’s (both long) and an activities assistant from 9am to 4pm.  On afternoon shift there are two HCA’s (both long shifts).  On night shift there is one caregiver supported by staff from the hospital wing.</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wing, there are 19 rest home and one hospital residents. On morning shift there is are two HCA’s(one short and one long). On afternoon shift there are two HCA’s (one long and one short) and on night shift there is one caregiver.</w:t>
            </w:r>
          </w:p>
          <w:p w:rsidR="00EB7645" w:rsidRPr="00BE00C7" w:rsidP="00BE00C7">
            <w:pPr>
              <w:pStyle w:val="OutcomeDescription"/>
              <w:spacing w:before="120" w:after="120"/>
              <w:rPr>
                <w:rFonts w:cs="Arial"/>
                <w:b w:val="0"/>
                <w:lang w:eastAsia="en-NZ"/>
              </w:rPr>
            </w:pPr>
            <w:r w:rsidRPr="00BE00C7">
              <w:rPr>
                <w:rFonts w:cs="Arial"/>
                <w:b w:val="0"/>
                <w:lang w:eastAsia="en-NZ"/>
              </w:rPr>
              <w:t>Adjoining apartments are staffed independently with rest staff assisting at night for emergencies only.  At this time, while there are no assessed rest home residents the apartments are staffed independently, however when rest home residents are admitted there will be 24/7 HCA cover.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interviewed reported that there is sufficient staff rostered to meet the resident needs, and that management do their best to replace unexpected leave.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were appropriate to the service type.  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locked office and password protection with electronic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 and short-term admission agreements sighted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follow-up.  A record of transfer documentation is kept on the resident’s file.  All relevant information is documented and communicated to the receiving health provider or service.  The facility uses the ‘yellow envelope’ transfer system.  Communication with family is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complies with Ministry of Health medication guidelines.  Registered nurses and senior healthcare assistants who administer medications have been assessed for competency on an annual basis.  Registered nurses complete syringe driver competencies.  Regular and ‘as required’ medications are delivered in blister packs which are checked by an RN against the medication charts.  The blister packs are signed on the back following reconciliation and any errors are fed back to pharmacy.  Medications are stored safely in the care centre and the dementia care unit. Healthcare assistants and RNs interviewed were able to describe their role in regard to medicine administration.  A medication round observed followed correct procedures.  Education around safe medication administration has been provided.  Medication fridges were monitored weekly and temperatures were within acceptable limits.  The service monitors and records medication room temperatures which evidence they do not exceed 25 degrees.  All eye drops, ointments and sprays were dated on opening.  All medications were prescribed for the resident and no bulk supply order was held on site.  There were three self-medicating residents (two rest home and one hospital level) with self-medication competencies signed by the GP.  Medication was stored safely in the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paper-based medication charts (six dementia, six rest home including the respite resident, and eight hospital).  The medication charts reviewed evidenced that all medication documentation has been completed appropriately including charting and administration signing.  The effectiveness of ‘as required’ medications is recorded in progress notes.  All medication charts had photo identification and the allergy status recorded.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staff are contracted by an external catering company.  There is a fully functional kitchen and all food is cooked on site.  There is a food services manual in place to guide staff.  A resident nutritional profile is developed for each resident on admission and provided to the kitchen staff.  This document is reviewed at least six-monthly as part of the care plan review.  The kitchen is able to meet the needs of residents who need special diets and the kitchen manager works closely with the RNs on duty.  The kitchen manager is also informed of any residents who have lost or gained weight where interventions are required, and reports back if there are meals returned to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staff have completed food safety training.  The kitchen manager (chef) and cooks follow a rotating four weekly seasonal menu, which has been reviewed by a dietitian.  There is a current food control plan in place which expires on 30 March 2021.  The temperatures of refrigerators, freezers, dishwashers, and cooked foods are monitored and recorded electronically.  There is special equipment available for residents if required.  All food is stored appropriately.  Residents and the family members interviewed were satisfied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prospective residents should this occur and communicates this to prospective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not limited to) pain, behaviour, nutrition, falls, mini nutritional assessments, depression scales, and continence.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care plans reviewed evidenced multidisciplinary involvement in the care of the resident.  All residents had an up to date care plan.  Care plan interventions documented were comprehensive and resident focussed, care plans documented updates with acute changes to health status.  However, not all care needs were included in the care plans.  Residents and relatives interviewed stated that they were involved in the care planning process.  There was evidence of service integration with documented input from a range of specialist care professionals including the gerontologist, psychogeriatric nurse, wound care nurse and dietitian.  The care staff interviewed advised that the care plans were easy to follow.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for dementia residents included management of behaviours and de-escalation techniques.  Electronic behaviour monitoring charts are completed as required.  The leisure care plan outlines activities that are available for dementia residents over a 24-hour period.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Healthcare assistants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Individual electronic wound assessment, plans and evaluations were in place for all wounds.  Wound monitoring occurs as planned.  There are currently 32 wounds being treated; four dementia (two skin tears, one abrasion and one lesion), 13 rest home (one surgical wound, eight skin tears, three unidentified skin conditions, and one laceration) and 15 hospital (five unidentified skin conditions, nine skin tears, and one surgical wound).  There were no residents with a pressure injury on the days of the audit.  The registered nurses describe the referral process for the wound care nurse and high protein diets provided for residents with wounds.  Photos are taken regularly and uploaded to the electronic resident file.</w:t>
            </w:r>
          </w:p>
          <w:p w:rsidR="00EB7645" w:rsidRPr="00BE00C7" w:rsidP="00BE00C7">
            <w:pPr>
              <w:pStyle w:val="OutcomeDescription"/>
              <w:spacing w:before="120" w:after="120"/>
              <w:rPr>
                <w:rFonts w:cs="Arial"/>
                <w:b w:val="0"/>
                <w:lang w:eastAsia="en-NZ"/>
              </w:rPr>
            </w:pPr>
            <w:r w:rsidRPr="00BE00C7">
              <w:rPr>
                <w:rFonts w:cs="Arial"/>
                <w:b w:val="0"/>
                <w:lang w:eastAsia="en-NZ"/>
              </w:rPr>
              <w:t>An adequate supply of continence products was sighted and the registered nurses described having access to the continence nurse through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suite of monitoring forms are available on the electronic system including (but not limited to); weight, vital signs, behaviour monitoring, pressure area care, food and fluid charts, fluid balance charts and wound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comprises of three activities coordinators,  all of whom have been employed in the last six months.  They are mentored by a diversional therapist from a sister facility.  The activity team coordinate the activities programme for all residents.  Each resident has an individual activities assessment on admission.  Based on this information, an individual activities plan is developed as part of the care plan by the registered nurses with input from the activities staff.  Each resident is free to choose whether they wish to participate in the group activities programme or their individual plan.  Significant time is dedicated to one-on-one activities.  Participation is monitored.  Group activities reflect ordinary patterns of life and include planned visits to the community.  The residents’ files sampled included activities plans within the care plans that are evaluated at least six-monthly when the care plans are evaluated.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weekly programmes for both areas are developed by the activities team.  There are separate planners for the dementia and rest home/ hospital area.  The residents in the serviced apartments are invited to attend the activities in the rest home/ hospital area.  Activities in the rest home/ hospital areas include (but not limited to); daily exercises, housie, happy hours with entertainment, knitting club, bowls, card games and crafts.  Resident meetings occur bi-monthly and age concern facilitate the meeting.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unit have plans that include activities to manage behaviours over the 24-hour period and staff provide activities when activities staff are not present.  Residents and families interviewed commented positively on the activity programme.  There is a dedicated activity coordinator for the dementia unit who works 32 hours a week over five days.  The weekly planner includes (but not limited to); table activities including jigsaws, games and craft, exercises, walks and group games such as golf, singing, reminiscing.  There is a healthcare assistant works for four hours in the evenings.  The  evening healthcare assistant provides calming activities and supervises the residents in the lounge areas when the other health care assistants are busy with resident cares.  These activities include watching a movie, colouring and one on one time</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volunteers who visit and assist residents with activities and perform musical activities.  There are regular church services held and the local kapa haka group, school and kindergarten children visit the facility.  Residents from the dementia unit are invited to attend activities in the rest home/ hospital areas where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Van outings occur at least weekly in both units, the activities team have current first aid certificates, two are qualified to drive the van.  The van has capacity to accommodate one wheelchair.  Residents and relatives were complimentary of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plans reviewed had been evaluated by the registered nurse six monthly or when changes to care occurred.  Any changes to care are updated in the care plan.  Activities plans are in place for each of the residents and these are also evaluated six-monthly.  The six-monthly case conferences (care plan review meetings) involve input from the RN, GP, and resident/family if they wish to attend.  There is at least a three-monthly review by the GP.  The family members interviewed confirmed that they are informed of any changes to the care plan, and were involved in the six-monthly case conferences.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electronic resident files reviewed.  The service facilitates access to other medical and non-medical services.  Referral documentation is maintained on resident files.  There was evidence of where residents had been referred to the wound care nurse specialist, physio, dietitian and gerontologist.  Discussion with the registered nurse identified that the service has access to a wide range of support either through the GP, specialists, and allied health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visors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two current building warrant of fitness.  The care centre building warrant of fitness expires on 13 July 2021, and the serviced apartment building warrant of fitness expires on 15 May 2021.  The facility has a number quiet seating areas and large open lounge areas in each unit.  There is a full-time maintenance person (interviewed) employed to address the reactive and planned maintenance programme.  All medical and electrical equipment was recently serviced and or calibrated.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including a mobility scooter parking/charging bay.  The external area is well maintained.  Residents have access to safely designed external areas that have shade.  There is an interesting and secure garden for the dementia unit.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All resident rooms have their own ensuite.  Toilets and showers have privacy systems in place.  Residents interviewed confirmed their privacy is assured when staff are undertaking personal cares.  There are toilets situated close to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of an appropriate size to allow care to be provided and for the safe use and manoeuvring of mobility aids including those required by hospital level care residents in the dual-purpose rooms.  Residents are encouraged to personalise their bedrooms, which was sighted during a tour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areas for residents and visitors to use include the main lounge and smaller lounges and separate dining areas in each of the rest home, hospital, and dementia units.  The communal areas are easily and safely accessible for residents using mobility aids.  </w:t>
            </w:r>
          </w:p>
          <w:p w:rsidR="00EB7645" w:rsidRPr="00BE00C7" w:rsidP="00BE00C7">
            <w:pPr>
              <w:pStyle w:val="OutcomeDescription"/>
              <w:spacing w:before="120" w:after="120"/>
              <w:rPr>
                <w:rFonts w:cs="Arial"/>
                <w:b w:val="0"/>
                <w:lang w:eastAsia="en-NZ"/>
              </w:rPr>
            </w:pPr>
            <w:r w:rsidRPr="00BE00C7">
              <w:rPr>
                <w:rFonts w:cs="Arial"/>
                <w:b w:val="0"/>
                <w:lang w:eastAsia="en-NZ"/>
              </w:rPr>
              <w:t>There is a separate dining room for the residents in the serviced apartments.  The dining room has large doors which open up to a garden area.  There were two tables each seating up to six residents.  On the days of the audit there was adequate space for residents to move around the dining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housekeeping staff, one of the housekeepers is also responsible for checking and returning the clean laundry to resident rooms.  Housekeeping staff have access to a range of chemicals, cleaning equipment and protective clothing.  The standard of cleanliness is monitored through the internal audit programme.  Residents and relatives interviewed were satisfied with the standard of cleanliness in the facility.  The housekeepers interviewed were knowledgeable around the extra cleaning chemicals and describe still maintaining the extra cleaning duties around high touch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personal clothing is laundered by an external contractor, who collect and deliver laundry and personal items daily.  There is a clear process of handling and storage of clean and dirty laundry to meet infection control standards.  There are clearly defined dirty and clean areas and doors in the laundry area.  Residents and relatives interviewed were satisfied with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There is a minimum of one first aid trained staff member on every shift and during outings.  The facility has an approved fire evacuation plan.  Fire drills take place at least six monthly.  Smoke alarms, sprinkler system and exit signs are in place.  Two generators, gas barbeques and torches are available in the event of a power failure.  Emergency lighting is in place, which is regularly tested.  A civil defence kit is in place.  Supplies of stored water and food are held on site and are adequate for three days.  Electronic call bells are evident in residents’ rooms, lounge areas, and toilets/bathrooms.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kept locked from dusk to dawn.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appropriately heated and ventilated.  All resident rooms have either large external window with garden views, or doors to the garden areas.  The facility is heated with underfloor heating and there is heat pumps installed in the lounge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Millstream has an established infection control programme.  The infection control programme, its content and detail, is appropriate for the size, complexity and degree of risk associated with the service.  It is linked into the incident reporting system and the Radius KPIs.  The designated infection control nurse with support from the clinical nurse manager, registered nurses, and the quality management committee (infection control team).  Minutes are available for staff.  Audits have been conducted and include hand hygiene and infection control practices.  Education is provided for all new staff on orientation.  The Radius infection control programme was last reviewed in June 2020.</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managed the current Covid-19 pandemic well. There has been ongoing information to all staff around how to manage any case of Covid 19, should there be one, and process put in place as per policy.  This has included instructions around visiting at each level, management of staff and use of PPE.  There is sufficient PPE on site to manage should this be required for an outbreak including a case of COVID-19 for at least two weeks should this be required.  An ongoing screening process is implemented for all staff and visitors including a sign in declaration and temperature check on arrival.  Visitors are asked not to visit if they are unwell.  Hand sanitizers were appropriately placed throughout the facility.  Residents and staff are offered the annual influenza vaccine.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competed off site training with the CDHB and via health learn in 2020.  She has access to ongoing education and resources persons including Radius Infection Control Officer, DHB infection control nurse, GP,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Radius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Radius clinical management team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all staff has occurred on an annual basis.  The infection control nurse has completed external infection control training.  Visitors are advised of any outbreaks of infection and are advised not to attend until the outbreak has been resolved Topical toolbox talks are also provided.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document infection prevention and control surveillance methods.  The surveillance data is collected and analysed monthly to identify areas for improvement or corrective action requirements.  Infection control internal audits have been completed.  Infection rates have generally been low.  Trends are identified and quality initiatives are discussed at staff and quality meetings.  There is a policy describing surveillance methodology for monitoring of infections.  Definitions of infections are in place appropriate to the complexity of service provided.  Systems are in place that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owner/manager and at staff meetings. Meeting minutes are available to staff.  Trends are identified,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policies and procedures are comprehensive, and include definitions, processes and use of restraints and enablers.  The facility is restraint free.  The restraint coordinator (registered nurse) was interviewed during the audit.  There were no enablers in use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covering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04"/>
        <w:gridCol w:w="1280"/>
        <w:gridCol w:w="5999"/>
        <w:gridCol w:w="1656"/>
        <w:gridCol w:w="16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events are entered into the resident management system.  The policy documents that where there are unwitnessed falls, staff must commence neuro observations for 48 hours.  However, on the day audit not all observations had been completed as per policy.  Health care assistants ensure registered nurses are advised of all incidents and RN’s report that they review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eight neurological observation recordings were not documented at intervals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neurological observations are completed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care plans were resident centred.  The interventions for the residents in the dementia unit were very detailed, individualised and contained specified de-escalation and distraction techniques.  Overall, the interventions for acute needs were documented in the long-term care plans.   Not all care needs were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rest home resident did not have interventions documented in the care plan for current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There were no interventions around the side effects of warfarin or digoxin for a hospital level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care plans contain interventions for healthcare assistants around wound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side effects of warfarin and digoxin are documented to alert healthcare assistants around these.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3014"/>
        <w:gridCol w:w="83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Millstream is active in identifying areas for improvement and implementing quality initiatives/projects to improve outcomes for residents.  The initiatives implemented in the dementia unit have exceeded the required standard and resulted in an improvement in resident wellbeing.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Millstream staff identified through monitoring of monthly data a high incidence of weight loss for residents in the dementia unit.  The service developed an action plan commencing August 2019.  The plan included weekly dementia staff meetings where HCA’s and RN’s contributed to individual resident initiatives including:  improving food intake, food and fluid intake monitoring, monthly dietitian reviews and implementing individual supplements, fortnightly weighs, and increased GP involvement.  Changes to the dementia menu included providing desserts for all residents in the secure unit at dinner and tea meals, provision of high calorie finger foods evenings and night. Milkshakes and sandwiches were provided for morning and afternoon teas and specific preferred options for at risk residents.  The effectiveness of the action plan was reviewed at monthly meetings and identified that there was an immediate and sustained reduction in the loss of weight amongst residents in the dementia unit.  Six of eight residents have had no further weight loss since the above measures were introduced.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Millstream has put in place strategies to ensure that residents and family members have opportunities to communicate with each other during the lockdown period of the pandemic as well as initiatives to ensure that all are kept informed of facility and practice changes resulting from Ministry of Health and Public Health directives during the pandemic.  The initiatives have exceeded the required standard.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Millstream identified the negative impact the lockdown would potentially have on both residents and families and introduced a number of initiatives to improve communication with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Covid-19 pandemic and lockdown periods, the managers and key staff maintained constant communication with residents and family.  This included communicating through memos via email, phone calls, and weekly newsletters.  Communication to family and whanau included updates from the facility, explanations of measures in place to prevent Covid-19, residents’ wellbeing, activities, highlights of their day and points of interest.  Newsletters were sent out weekly during lockdown and have continued monthly since.  During the lockdown period the activities team enabled residents to link with family on “video chats” using facetime, WhatsApp or messenger with a link set up specifically for families and friends to book a time to be able to speak to the residents.  Video calls, particularly for overseas families have also continued.  The facility has continued with this form of contact for “out of town” families and those unable to visit for whatever reason.  The response from families interviewed and letters and emails from families concerning the communication provided evidence of the successful strategies put into place.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Millstream</w:t>
    </w:r>
    <w:bookmarkEnd w:id="58"/>
    <w:r>
      <w:rPr>
        <w:rFonts w:cs="Arial"/>
        <w:sz w:val="16"/>
        <w:szCs w:val="20"/>
      </w:rPr>
      <w:tab/>
      <w:t xml:space="preserve">Date of Audit: </w:t>
    </w:r>
    <w:bookmarkStart w:id="59" w:name="AuditStartDate1"/>
    <w:r>
      <w:rPr>
        <w:rFonts w:cs="Arial"/>
        <w:sz w:val="16"/>
        <w:szCs w:val="20"/>
      </w:rPr>
      <w:t>26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