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Resthaven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Resthaven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2020</w:t>
      </w:r>
      <w:bookmarkEnd w:id="7"/>
      <w:r w:rsidRPr="009418D4">
        <w:rPr>
          <w:rFonts w:cs="Arial"/>
        </w:rPr>
        <w:tab/>
        <w:t xml:space="preserve">End date: </w:t>
      </w:r>
      <w:bookmarkStart w:id="8" w:name="AuditEndDate"/>
      <w:r w:rsidR="00A4268A">
        <w:rPr>
          <w:rFonts w:cs="Arial"/>
        </w:rPr>
        <w:t>8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Resthaven is part of the Presbyterian Support Southland (PSS) organisation and provides care for up to 60 residents across three service levels (rest home, hospital [medical and geriatric], and dementia care).  On the day of audit, there were 59 residents in total.</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nurse practitioner, and management.  Residents and relatives interviewed were very complimentary of the services and care they receive.  </w:t>
      </w:r>
    </w:p>
    <w:p w:rsidRPr="00A4268A">
      <w:pPr>
        <w:spacing w:before="240" w:line="276" w:lineRule="auto"/>
        <w:rPr>
          <w:rFonts w:eastAsia="Calibri"/>
        </w:rPr>
      </w:pPr>
      <w:r w:rsidRPr="00A4268A">
        <w:rPr>
          <w:rFonts w:eastAsia="Calibri"/>
        </w:rPr>
        <w:t>The facility manager has been in the role since May 2019 and is a registered nurse.  She is supported by an experienced clinical manager who has been in the role for eight years.  They are supported by the quality manager, registered nurses, and a team of experienced staff.</w:t>
      </w:r>
    </w:p>
    <w:p w:rsidRPr="00A4268A">
      <w:pPr>
        <w:spacing w:before="240" w:line="276" w:lineRule="auto"/>
        <w:rPr>
          <w:rFonts w:eastAsia="Calibri"/>
        </w:rPr>
      </w:pPr>
      <w:r w:rsidRPr="00A4268A">
        <w:rPr>
          <w:rFonts w:eastAsia="Calibri"/>
        </w:rPr>
        <w:t>This audit has identified shortfalls around discussions in meetings and monitoring charts.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PSS Resthaven have implemented the 2020 quality plan which includes benchmarking.  Quality improvement initiatives are developed, implemented and discussed at relevant meetings.  Meetings are held to discuss quality and risk management processes.  Residents’ meetings have been held and residents and families are surveyed annually.  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 xml:space="preserve">An education and training programme has been implemented with a current plan in place.  Appropriate employment processes are adhered to and all employees have an annual staff appraisal completed.  </w:t>
      </w:r>
    </w:p>
    <w:p w:rsidRPr="00A4268A">
      <w:pPr>
        <w:spacing w:before="240" w:line="276" w:lineRule="auto"/>
        <w:rPr>
          <w:rFonts w:eastAsia="Calibri"/>
        </w:rPr>
      </w:pPr>
      <w:r w:rsidRPr="00A4268A">
        <w:rPr>
          <w:rFonts w:eastAsia="Calibri"/>
        </w:rPr>
        <w:t xml:space="preserve">There is a roster that provides sufficient and appropriate coverage for the effective delivery of care and support.  Residents, relatives and staff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documentation.  InterRAI assessments and care plans are completed and reviewed within required timeframes.  </w:t>
      </w:r>
    </w:p>
    <w:p w:rsidRPr="00A4268A" w:rsidP="00621629">
      <w:pPr>
        <w:spacing w:before="240" w:line="276" w:lineRule="auto"/>
        <w:rPr>
          <w:rFonts w:eastAsia="Calibri"/>
        </w:rPr>
      </w:pPr>
      <w:r w:rsidRPr="00A4268A">
        <w:rPr>
          <w:rFonts w:eastAsia="Calibri"/>
        </w:rPr>
        <w:t xml:space="preserve">The activity team provide an activities programme in the rest home and hospital and a separate programme in the dementia care unit.  The activity programmes meet the abilities and recreational needs of the groups of residents.  </w:t>
      </w:r>
    </w:p>
    <w:p w:rsidRPr="00A4268A" w:rsidP="00621629">
      <w:pPr>
        <w:spacing w:before="240" w:line="276" w:lineRule="auto"/>
        <w:rPr>
          <w:rFonts w:eastAsia="Calibri"/>
        </w:rPr>
      </w:pPr>
      <w:r w:rsidRPr="00A4268A">
        <w:rPr>
          <w:rFonts w:eastAsia="Calibri"/>
        </w:rPr>
        <w:t xml:space="preserve">The service uses an electronic medication management system.  </w:t>
      </w:r>
    </w:p>
    <w:p w:rsidRPr="00A4268A"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PSS Resthaven has a current building warrant of fitness.  Reactive and preventative maintenance is carried out.  Medical equipment and electrical appliances have been calibrated.  There are sufficient communal areas within the rest home, hospital, and dementia areas that include lounge and dining areas, and smaller seating areas.  External garden areas are easily accessible for residents using mobility aids with suitable pathways, seating and shade provided.  The external areas in the dementia units are secure and provide areas of interest.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the provision of a restraint-free environment.  A register is maintained for all residents with enablers and with restraint.  There were two residents documented as using restraint and no residents with an enabler.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The newly appointed manager is the designated infection control nurse with support from the quality team and head office.  The infection control programme is linked into the incident reporting system and logged onto the benchmarking programme quarterly.</w:t>
      </w:r>
    </w:p>
    <w:p w:rsidRPr="00A4268A">
      <w:pPr>
        <w:spacing w:before="240" w:line="276" w:lineRule="auto"/>
        <w:rPr>
          <w:rFonts w:eastAsia="Calibri"/>
        </w:rPr>
      </w:pPr>
      <w:r w:rsidRPr="00A4268A">
        <w:rPr>
          <w:rFonts w:eastAsia="Calibri"/>
        </w:rPr>
        <w:t xml:space="preserve">Covid 19 was well managed, logs were maintained of staff and resident temperature checks.  Adequate supplies of personal protective equipment were sighted.  The outbreak in 2019 was well managed and reported appropriately.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3"/>
        <w:gridCol w:w="1280"/>
        <w:gridCol w:w="102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Fifteen complaints have been received since the last audit, ten care related complaints in 2019, and five complaints in 2020 including one complaint with the Health and Disability Commissioner, which remains open.  Documentation and correspondence reflected evidence of responding to the complaints in a timely manner with appropriate follow-up actions taken.  Registered nurses and care workers interviewed confirmed that complaints and any required follow-up is discussed at staff meetings as sighted in the minutes.  Residents and relatives advised that they are aware of the complaints procedure and how to access forms and feel comfortable discussing concerns with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Three residents interviewed (two rest home, one hospital) stated that they were welcomed on entry and were given time and explanation about the services and procedures.  Both the facility manager and clinical manager are available to residents and relatives and they promote an open-door policy.  Incident forms reviewed for November 2020 evidenced that relatives had been notified on all occasions.  Two relatives interviewed (one hospital and one dementia) advised that they are notified of incidents and when residents’ health status changes promptly.  The clinical staff interviewed (the nurse practitioner, four registered nurses, five care workers, one physio aid/ health and safety representative/care worker and the activities coordinator interviewed fluently describe instances where relatives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is one of four aged care facilities under Enliven Residential Services for Older People (SOP), a division of Presbyterian Support Southland (PSS).  Resthaven is certified to provide rest home, hospital (medical and geriatric), and dementia care.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a total of 59 residents: 20 rest home (including one resident on an Accessibility Ministry of Health contract), 30 hospital level care (including one resident on an Accessibility Ministry of Health contract, and one resident on an exceptional circumstance contract), and nine dementia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at Resthaven is a registered nurse and has been in her role since May 2019 and has previous business management experience.  The clinical manager is an experienced registered nurse and has been in her role for eight years.  They are supported by the quality manager (present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have employed a nurse practitioner who has direct and regular access to general practitioners.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group have developed a charter that sets out its vision and values.  Resthaven have identified a vision, values and goals across all departments.  The quality plan for 2020 - 2021 documents each goal with initiatives and key performance targets to be implemented.  The facility manager is responsible for the implementation of the quality programme at Resthaven.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more than the required eight hours training including an online leadership training session and attends the district health board (DHB) age residential care meetings, and monthly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has an organisational business/strategic plan that includes quality goals and risk management plans for Resthaven.  The quality and risk management programme is designed to monitor contractual and standards compliance.  Monthly data is collated from the electronic system and benchmarked between other Presbyterian support organisations.  An internal audit schedule is being implemented.  Areas of non-compliance identified through quality activities are actioned for improvement.  The staff report quality data including corrective action plans are discussed at meetings held, however this is not reflected in the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Regular meetings are held including: quality (including infection control and health and safety), staff, clinical meetings, and three-monthly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satisfaction surveys are held.  The 2019 resident and relative satisfaction surveys could not be located at the time of the audit, however the 2020 survey evidenced overall satisfaction with the service provided, especially around food services, activities, communication and feeling part of the decision-making processes.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risk management, and health and safety policies and procedures in place including accident and hazard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on a case-by-case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quality meeting.  Incident forms are completed by staff, the resident is reviewed by the RN at the time of event.  Ten incident forms reviewed identified registered nurse follow up.  Incident/accident forms include a section to record relatives have been notified.  All incident reports reviewed evidenced relatives had been notified.  Neurological observations had been completed for all unwitnessed falls and where there was potential for head injury.  Opportunities to minimise the risk of future incidents (where appropriate) were identified.  The care workers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both the facility and clinical manager confirmed that there is an awareness of the requirement to notify relevant authorities in relation to essential notifications.  There have been six Section 31 notifications made in 2019 and one on 2020 since the previous audit (an externally acquired stage 3 pressure injury, one staff injury, the boiler was not emptied and posed a fire risk, an intruder, one trespass order and the evacuation of the facility due to floods in February 2020).  The public health team were notified of the outbreak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Six staff files were reviewed (one clinical manager, one registered nurse, one enrolled nurse, one diversional therapist and two care workers).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There is evidence in the registered nurse files of attendance at the DHB external training.  Interviews with care workers confirm participation in the New Zealand Qualification Authority through the Careerforce programme.  A competency programme is in place that includes annual medication competency for staff administering medications.  Core competencies are completed, and a record of completion is maintained and signed.  Competency questionnaires were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five care workers with level 4 NZQA, 13 care workers with level 3 NZQA.  A total of 36 staff including the two activities coordinators have completed the four dementia standards, this includes all the staff who work in the dementia unit plus staff from other areas in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76 staff.  Resthaven has a documented rationale for determining staffing levels and skill mixes for safe service delivery.  There is a roster that provides sufficient and appropriate coverage for the effective delivery of care and support.  Rosters reviewed evidenced that staff were replaced when sick.  The facility manager works five days a week (Monday to Friday) and is supported by the clinical manager who works Monday to Friday.  There is registered nurse cover across all shifts in the hospital wing.  A registered nurse or enrolled nurse or a team leader (senior care worker with a current medication competency) works in the morning and afternoon shifts in the rest home area and there is a team leader across all shifts in the dementia unit.  All registered nurses, the enrolled nurse and team leaders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Waimea wing (hospital) 29 beds (27 hospital level residents and two rest home level).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works from 6.45am to 3.15 pm.  The RN is supported by five care workers rostered on the morning shift: 4x 7am to 3pm and 1x 7am to 11am.  The afternoon shift has: a registered nurse 2.45pm to 11.15pm and five care workers; 4x 3pm to 11pm and 1x 4.30pm to 8.30pm.  There is one registered nurse and one care worker overnight from 11pm to 7am.</w:t>
            </w:r>
          </w:p>
          <w:p w:rsidR="00EB7645" w:rsidRPr="00BE00C7" w:rsidP="00BE00C7">
            <w:pPr>
              <w:pStyle w:val="OutcomeDescription"/>
              <w:spacing w:before="120" w:after="120"/>
              <w:rPr>
                <w:rFonts w:cs="Arial"/>
                <w:b w:val="0"/>
                <w:lang w:eastAsia="en-NZ"/>
              </w:rPr>
            </w:pPr>
            <w:r w:rsidRPr="00BE00C7">
              <w:rPr>
                <w:rFonts w:cs="Arial"/>
                <w:b w:val="0"/>
                <w:lang w:eastAsia="en-NZ"/>
              </w:rPr>
              <w:t>Charlton wing (rest home) 21 beds (five hospital level residents and 16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enrolled nurse or team leader works from 6.45am to 3.15pm.  The RN is supported by: two care workers rostered on the morning shift: 1x 7am to 3pm and 1x 7am to 1.30pm.  The afternoon has: a registered nurse/ enrolled nurse or team leader from 2.45 to 11.15pm.  They are supported by: two care workers rostered; 1x 3pm to 11pm, and 1x 4.30pm to 8.30pm.  One care worker is rostered overnight from 11pm to 7am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Oban wing (dementia) has 10 beds, nine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team leader (medication competent) from 6.45am to 3.15pm and one care worker from 7am to 3pm.  The afternoon shift has one team leader from 2.45pm to 11.15pm, and one care worker from 3pm to 11pm.  One medication competent care worker is rostered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relatives and staff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 reconciliation is completed by two RNs on delivery of medication and any errors are fed back to pharmacy.  All medications were securely and appropriately stored.  The medication fridge temperatures are recorded weekly and these are within acceptable ranges.  Medication room temperatures are recorded and remain below the recommended 25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uses an electronic medication management system.  All nurses and care workers who administer medication have been assessed for competency on an annual basis.  Education around safe medication administration has been provided.  RNs have completed syringe driver training.  Staff were observed to be safely administering medications.  Registered nurses and care workers interviewed could describe their role regarding medicine administration.  Standing orders are not used.  There were no residents self-medicating residents at the time of audit.  The service uses four weekly blister packs for regular and ‘as required’ (PRN)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All medication charts have photograph identification, allergies and three-month GP reviews documented.  Indications for use has been documented for all ‘as required’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commercial kitchen, and all meals are cooked on-site for the entire facility.  All staff working in the kitchen have food safety certificates.  Food is served from the kitchen to the adjacent dining area and transported in a bain-marie to the dementia unit.  A current food control plan is in place expiring on 19 December 2021.  Fridges, and freezer temperatures are monitored and recorded daily in the kitchen.  Food in the fridges was covered and dated.  There is a kitchen manual and a range of policies and procedures to safely manage the kitchen and meal services.  The menu is a four-weekly seasonal menu, which was designed and reviewed by a registered dietitian, at an organisational level.  Special or modified diets are catered for.  Soft and pureed dietary needs are documented in files sampled.  The cook interviewed was knowledgeable around resident preferences and residents who were losing weight.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made by the RN as part of the assessment process and this includes likes and dislikes.  Nutritional profiles were evident in a folder for kitchen staff to access.  This includes consideration of any dietary needs (including cultural needs).  This was reviewed six-monthly as part of the care plan review or sooner if required.  There was evidence of residents receiving supplements.  There is evidence that there are additional nutritious snacks available over 24-hours.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 workers follow the care plan and report progress at each shift handover.  All care plans reviewed included documentation that meets the need of the residents and had been updated as residents` needs changed.  If external allied health requests or referrals are required, the registered nurses initiate the referral (e.g., wound care specialist, dietitian, hospice or mental health team), referrals and concerns are discussed at the regular multidisciplinary (MDT) meetings.  The nurse practitioners (for service for older people and mental health services) interviewed on day of audit spoke highly of the service and confirmed they were informed of changes in resident condition They reported that the registered nurses are proactive and forward thinking to prevent residents condition deteriorating.  The relatives interviewed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and RNs interviewed stated there is adequate equipment provided including continence and wound care supplies (sighted).  Wound assessment, wound management, photos and evaluation forms are in place.  Waimea (hospital) wing had seven wounds including: one stage 2 pressure injury, three skin tears, one previous pressure injury site requiring monitoring, and two chronic leg ulcers.  The Charlton (rest home) wing had: one surgical wound and Oban (dementia) wing had: two skin tears and a scab requiring monitoring.  Pressure injury equipment was in place for residents at high risk of developing pressure injuries.  The wound care specialist had been involved for residents with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and support in the dementia unit was observed to be provided in a calm environment.  Care workers, activity staff and registered nurses were all observed to interact with the residents.  the relatives interviewed commented on the calm homely environment in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 workers demonstrated understanding of the individualised needs of residents for all levels of care provided.  care plan interventions were individualised and comprehensive.  There was evidence of two hourly turning charts, monthly weight and vital sign monitoring, and food and fluid charts, however the monitoring charts in place for the two residents using restraint were not consistently completed as instructed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led by a team of two, one diversional therapist and an activities coordinator (interviewed) who has been in the role since March 2020.  Both have first aid certificates and have completed the dementia standards.  The team document activity assessments and prepare the quality-of-life care plans for each resident on admission and review at least six-monthly.  Residents meetings are held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activity programme is printed, and a copy is given to residents.  The programme is varied and changes if the weather is not suitable.  The programme runs from Monday to Friday, a weekly church service is held each Sunday.  The programme included: exercises for large and small groups, newspaper reading, group games, and crafts.  One on one sessions include hand massages and walks.  Celebrations and special occasions are celebrated.  There are displays in the themed corridor and resident room doors are decorated.  All residents in the facility are invited to and can participate in larger events and celebrations held within the home.  The physio assistant assists residents with their exercise programme designed by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developed a new template that includes residents likes, dislikes and capability including anything hindering their participation such ‘as pain in left leg’.  The purpose of this template is to support care workers or activities staff not familiar with the residents to run the programme in the absence of activity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in Oban (dementia) wing included: daily newspaper reading, exercises, walks, group games, puzzles and board games.  One on one activities include nail care, hand massages, using the foot spa and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the relatives were complimentary of the activities on offer.  </w:t>
            </w:r>
          </w:p>
          <w:p w:rsidR="00EB7645" w:rsidRPr="00BE00C7" w:rsidP="00BE00C7">
            <w:pPr>
              <w:pStyle w:val="OutcomeDescription"/>
              <w:spacing w:before="120" w:after="120"/>
              <w:rPr>
                <w:rFonts w:cs="Arial"/>
                <w:b w:val="0"/>
                <w:lang w:eastAsia="en-NZ"/>
              </w:rPr>
            </w:pPr>
            <w:r w:rsidRPr="00BE00C7">
              <w:rPr>
                <w:rFonts w:cs="Arial"/>
                <w:b w:val="0"/>
                <w:lang w:eastAsia="en-NZ"/>
              </w:rPr>
              <w:t>Volunteers are available to participate with activities including sing-a-longs, entertainment, supporting residents with happy hours and reading the newspaper.  Schools and pre-schools visit the facility regularly.  The residents on the accessibility contracts participate in the facility activities and are provided with magazines of their choosing.  The activities coordinator interviewed described one on one activities for less able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registered nurses six-monthly, or when changes to care occurred.  Written evaluations describe the residents progress against the residents (as appropriate) identified goals.  Care plans reviewed for short-term needs were evaluated and either resolved or added to the long-term care plan as an ongoing problem.  There is at least a three-monthly review by the medical practitioner.  The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holds a current building warrant of fitness expiring on 24 June 2021.  Preventative and reactive maintenance occur, and records are maintained as evidenced by the maintenance man.  Hot water temperatures are checked randomly and were within ranges.  Tradesmen are available if required.  Equipment has been tagged and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is a large communal lounge area and several quiet areas for residents to enjoy a quiet more intimate space throughout the rest home and hospital wings.  Outdoor areas and gardens are well maintained and accessible to residents.  The gardens have seating and shade provided by the trees.  There is a designated smoking area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Oban (dementia) wing is secured with keypad entry.  The unit is spacious and has a large open plan lounge/ dining area and a smaller lounge for residents to use.  The external garden area is secured.  Residents were observed moving freely around the unit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workers interviewed stated they have sufficient equipment including mobility aids, hoists, wheelchairs and pressure injury equipment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Monthly infection data is collected for all infections based on signs and symptoms of infections.  All infections are entered into the electronic data system quarterly and are reported back to the facility.  The infection control team meet monthly to address issues and an infection control report is given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gastroenteritis outbreak in 2019.  There was evidence of outbreak management, public health was informed, logs were maintained, and the outbreak was well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education sessions were held around the Covid19 outbreak including donning and doffing of personal protective equipment.  Residents, relatives and staff all stated they were well informed and kept up to date with the current guidelines.  Wellness declarations, and contact tracing continue to be completed by all visitors and contractors to the facility.  Adequate supplies of personal protective equipment were sighted, and a further stock is held centrally at the head office.  There were no corrective actions identified at the DHB Covid 19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  The policy includes comprehensive restraint procedures and identifies that restraint be used as a last resort.  The restraint coordinator maintains a log of all restraints and enablers in use.  There were two hospital residents using restraint.  One resident was using bedrails and a wheelchair lap belt, and one resident was using a bedrail.  Assessments and consents were signed by the enacted enduring power of attorney and the GP.  The restraints have been monitored three-monthly.  The care plan instructs the care workers on risks, and two hourly monitoring requirements (link 1.3.6.1).  Restraints are discussed at the quality, clinical and staff meetings.  There were no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(RN) attends restraint approval committee meetings.  Restraint use is included in orientation for clinical staff.  an education session was held on challenging behaviour in February 2020.  restraint minimisation and safe practice competency has been completed by 44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9"/>
        <w:gridCol w:w="1280"/>
        <w:gridCol w:w="5146"/>
        <w:gridCol w:w="2727"/>
        <w:gridCol w:w="17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around falls, wounds, infections and incidents are collated, analysed and trended each month by the clinical manager.  Graphs of the data are available on the staff noticeboards; however, the minutes of the meetings do not reflect discussions held around quality data collected.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documentation in the registered nurses or care workers minutes of meetings to evidence discussions around quality data and analysis.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minutes of meetings evidence discussions held around quality data and analysis.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interventions around restraint in the long-term care plan were detailed, included risks and two hourly monitoring.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two restraint monitoring charts and progress notes did not reflect two hourly checks as instructed in the long-term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monitoring charts and progress notes reflect care plan instructions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Resthaven Village</w:t>
    </w:r>
    <w:bookmarkEnd w:id="58"/>
    <w:r>
      <w:rPr>
        <w:rFonts w:cs="Arial"/>
        <w:sz w:val="16"/>
        <w:szCs w:val="20"/>
      </w:rPr>
      <w:tab/>
      <w:t xml:space="preserve">Date of Audit: </w:t>
    </w:r>
    <w:bookmarkStart w:id="59" w:name="AuditStartDate1"/>
    <w:r>
      <w:rPr>
        <w:rFonts w:cs="Arial"/>
        <w:sz w:val="16"/>
        <w:szCs w:val="20"/>
      </w:rPr>
      <w:t>7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