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Levin Home for War Veterans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Levin Home for War Veterans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December 2020</w:t>
      </w:r>
      <w:bookmarkEnd w:id="7"/>
      <w:r w:rsidRPr="009418D4">
        <w:rPr>
          <w:rFonts w:cs="Arial"/>
        </w:rPr>
        <w:tab/>
        <w:t xml:space="preserve">End date: </w:t>
      </w:r>
      <w:bookmarkStart w:id="8" w:name="AuditEndDate"/>
      <w:r w:rsidR="00A4268A">
        <w:rPr>
          <w:rFonts w:cs="Arial"/>
        </w:rPr>
        <w:t>16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Levin Home for War Veterans is part of the Presbyterian Support Central organisation (PSC).  The service provides rest home, hospital and dementia level of care for up to 81 residents.  On the day of audit there were 62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facility manager/registered nurse has been in the role for three months and has previous experience in clinical management and primary health care.  The facility manager is supported by a newly appointed clinical nurse manager with experience in needs assessments and district nursing.  The clinical nurse manager is supported by two clinical coordinators, a team of registered nurses and healthcare assistants.  The facility manager is also supported by the PSC clinical director, general manager and chief executive officer at head office.  Residents and family interviewed spoke positively about the services provided.</w:t>
      </w:r>
    </w:p>
    <w:p w:rsidRPr="00A4268A">
      <w:pPr>
        <w:spacing w:before="240" w:line="276" w:lineRule="auto"/>
        <w:rPr>
          <w:rFonts w:eastAsia="Calibri"/>
        </w:rPr>
      </w:pPr>
      <w:r w:rsidRPr="00A4268A">
        <w:rPr>
          <w:rFonts w:eastAsia="Calibri"/>
        </w:rPr>
        <w:t xml:space="preserve">Three findings from the previous certification audit around hazard management, activity plan for dementia care residents and aspects of the food service have all been addressed. </w:t>
      </w:r>
    </w:p>
    <w:p w:rsidRPr="00A4268A">
      <w:pPr>
        <w:spacing w:before="240" w:line="276" w:lineRule="auto"/>
        <w:rPr>
          <w:rFonts w:eastAsia="Calibri"/>
        </w:rPr>
      </w:pPr>
      <w:r w:rsidRPr="00A4268A">
        <w:rPr>
          <w:rFonts w:eastAsia="Calibri"/>
        </w:rPr>
        <w:t xml:space="preserve">There were no areas for improvement identified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communication and complaints management.  Residents and relatives have the opportunity to feed back on the service meetings and surveys.  There are regular newsletters.  The manager operates an open-door policy.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Levin Home for War Veterans continues to implement the PSC quality and risk management system that supports the provision of clinical care.  Key components of the quality management system link to meetings including monthly senior team meetings.  An annual resident and relative satisfaction survey are completed and there are resident and relative meetings.  Quality performance is reported to staff at meetings and includes a summary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mandatory requirements and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are completed by a registered nurse, including interRAI assessments.  The registered nurses complete care plans.  Residents and relatives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rest home group programme is varied and interesting.  There is an activity plan for dementia unit residents.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The general practitioner reviews residents at least three monthly or more frequently if needed.  </w:t>
      </w:r>
    </w:p>
    <w:p w:rsidRPr="00A4268A" w:rsidP="00621629">
      <w:pPr>
        <w:spacing w:before="240" w:line="276" w:lineRule="auto"/>
        <w:rPr>
          <w:rFonts w:eastAsia="Calibri"/>
        </w:rPr>
      </w:pPr>
      <w:r w:rsidRPr="00A4268A">
        <w:rPr>
          <w:rFonts w:eastAsia="Calibri"/>
        </w:rPr>
        <w:t xml:space="preserve">All meals are prepared on site.  Individual and special dietary needs are catered for and alternative options are available for residents with dislikes.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system.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The clinical nurse manager is the restraint and enabler coordinator.  On the day of audit there was one resident using an enabler and one resident with a restraint.  Restraint minimisation, enabler use, and challenging behaviour training is included in the mandatory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(clinical nurse manager) collates infection events and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residents and family members.  The facility manager leads the investigation and management of complaints (verbal and written) in consultation with the clinical manager for clinical concerns/complaints.  A complaint register (online) records acknowledgement of complaints, investigation and resolution including advocacy information within the required timeframes.  Enliven concern/complaint forms are visible at the main entrance. There have been three written complaints for 2019 and nil for 2020 to date.  One HDC complaint (July 2019) was investigated and resolved.  One HealthCERT complaint (August 2019) was investigated by the DHB and found to be unsubstantiated and closed.  One internal written complaint was investigated and resolved.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confirmed they were aware of how to make a complaint.  A copy of the complaint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Residents (three rest home and three hospital) and relatives (three rest home, two hospital and two of dementia care residents) interviewed, stated they were welcomed on entry and were given time and explanation about the services, and charges not included in the admission agreement.  Twenty-one incident forms reviewed from November 2020 on the Leecare system identified the relative had been informed of an accident/incident.  Interviews with one clinical manager, two clinical coordinators, two registered nurses (RNs), one enrolled nurse confirmed that family are kept informed.  Relatives interviewed confirmed they were notified of any changes in their family member’s health status.  There are resident meetings where residents have the opportunity to feedback on all areas of service provided.  Enliven-wide and PSC Levin Home for War Veterans newsletters are produced on a regular basis and displayed.  Relatives stated they were kept well informed during the Covid-19 lockdown period with regular updates on their relative and facility visiting and screening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provided as required where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Levin Home for War Veterans is owned and operated by Presbyterian Support Central organisation.  The service provides rest home (20 beds), hospital level (30 beds) and dementia level of care (18 beds), and 13 rest home/hospital dual-purpose (including one double room) for up to 81 residents.  On the day of the audit there was a total of 62 residents.  There were 20 rest home residents (including two younger persons -YPD) and 28 hospital level of care residents (including one YPD) and 14 dementia care residents.  The service accommodates the needs of bariatric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business/strategic plan, philosophy of care and mission statement.  PSC Levin Home for War Veterans has a facility specific 2020-2021 business plan which links to the organisation’s strategic plan and is reviewed at quarterly meetings in consultation with the clinical director, general manager, chief executive officer (CEO) and management team.  Quality goals for 2020-2021 include, falls reduction, reduction of urinary tract infections, increasing community participation in the men’s shed and men’s club, strengthening contacts with local kindergartens and schools and strengthening relationships with local iwi.  Quality goals have been reviewed, however progress around community links has been impacted by Covid-19 restrictions.  Staff are involved in goal setting and these are discussed at management and staff meetings.  The service has implemented Eden principles.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with current practicing certificate) has been at the facility for three months and was previously in an acting clinical nurse manager (CNM) role for PSC and has experience in clinical management.  The facility manager manages the two local PSC facilities (Levin Home for War Veterans and Reevedon – rest home only) and is based at the Levin Home for War Veterans.  The facility manager reports to the general manager and consults with the clinical director (present on day of audit) on clinical matters when required.  The facility manager has completed the specific orientation package and attends the quarterly managers meetings and DHB forums.  She has attended a one-day course at the DHB on quality systems.  The facility manager is supported by clinical nurse managers at each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manager/RN at Levin Home for War Veterans has been in the role two months and has a background in needs assessment coordination and district nursing.  She is currently completing a role specific orientation and being mentored by a CNM in the Whanganui PSC facility.  The CNM is supported by two clinical coordinators (hospital and rest home) and PSC Nurse consultants who visit the facility regularly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Notifications to HealthCERT for change of manager, current clinical manager and previous clinical manager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in place.  PSC has an overall Quality Monitoring Programme (QMP) that is part of the quality programme.  Interviews with the facility manager reflected their understanding of the quality and risk management systems that have been put into place.  The senior team meeting acts as the quality committee and monitors progress with the quality programme/goals through senior team meetings.  The agenda covers quality data relating to accidents/incidents, infections, wounds, internal audits, human resource/staff issues, corrective action plan updates, health and safety and resident/relative issues, clinical/business risk, complaints, policies, education/training and business plan goals are discussed.  Information is fed back to the monthly clinical focused meetings and general staff meetings.  Meeting minutes and reports are made available to staff.  Quality data including infections, accidents/incidents, health and safety, audit outcomes, quality improvements and complaints/compliments and policy reviews are discussed at meetings and documented in meeting minutes which are available to staff.  The regular meeting schedule was disrupted during Covid-19 restrictions, however there were more frequent staff meetings and updates around the Covid-19 restrictions and precautions.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Policies and procedures are reviewed by relevant personnel at central office in consultation with managers and clinical managers.  Staff have access to A-Z policies on the PSC intranet.  Staff are required to read policy changes/reviews which are also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an annual survey, internal audit programme, data collection, analysis and review of adverse events including accidents, incidents, infections, wounds and pressure injuries.  Quality data that is collected is entered on the PSC database and benchmarked against other facilities in the group.  Action plans are developed for any clinical data above the benchmark for key performance indicators.  Incidents/accidents and infection control events are entered into the electronic system and a monthly report is generated.  There is documented trending and analysing of data including monthly comparisons.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been completed as scheduled.  Audit outcomes are discussed, and corrective actions put in place including re-audits for results less than expected.  Corrective actions are signed off as completed in an electronic data base.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rating for 2019 resident/relative survey was a score of 4.25 out of 5.  The results demonstrated an improvement across all areas.  Areas for improvement had been included in the quality goals.  Relatives interviewed stated they had the opportunity to feedback on the service through surveys and were informed of results through newsletters.  The November 2020 survey results have not yet been collated.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which includes a health and safety committee that meets quarterly.  The health and safety representative (interviewed) has attended external health and safety training including legislation and hazard management.  Staff are informed of upcoming health and safety meetings and have the opportunity to raise any concerns with committee representatives.  Committee meeting minutes are posted in the staffroom.  Identified hazards reported are discussed and added to the hazard register if unable to be eliminated.  There is a current hazard register for the facility site covering all areas of service.  This was last reviewed November 2020.  The previous finding around hazard reporting has been addressed.  The health and safety representative completes environmental audits and walk-arounds of the facility.  Staff receive health and safety induction on employment and ongoing training as part of the mandatory education programme.  Contractors receive a health and safety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the analysis of falls and the identification of falls prevention strategies including resident checks, sensor mats, post-falls reviews and individual resident interventions on a case-by-case basis to minimise future falls.  The service aims to reduce falls by 25% over the next year and have developed a quality improvement plan involving the PSC nurse consultant, GP and physiotherapist.  Location of falls are analysed for example poor lighting near a doorway was identified and strip lighting placed around the frame.  There have been no further falls in that location (link dementia are tracer 1.3.3.3).  Monthly data is currently showing a downward trend for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generated on the Leecare system and links to the organisational benchmarking programme and this is able to be used for comparative purposes with other similar services.  Trends and analysis information are available to staff.  Twenty-one incident forms across the three levels of care for November 2020 were reviewed.  All incident forms (skin tears, falls, bruise, one stage 3 pressure injury and behaviours) had been fully completed and residents reviewed by a RN.  Progress notes detailed RN follow-up, corrective actions and relative notification.  Neurological observations had been completed as per protocol for unwitnessed falls with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clinical nurse manager confirmed that there is an awareness of the requirement to notify relevant authorities in relation to essential notifications.  There have been six section 31 notifications since the last audit including a police investigation for intruder, one wandering resident, three unstageable pressure injuries (two facility and one community acquired) and one non-facility acquired stage 3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influenza-like outbreak since the last audit (April 2020).  Notification to the DHB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All recruitment documentation is centralised at head office with electronic files maintained.  Relevant checks are completed to validate the individual’s qualifications and experience as evidenced in the six staff files selected for review (one clinical coordinator, one RN, one enrolled nurse, one healthcare assistant (HCA), one diversional therapist and one cook).  All files contained a job description, completed orientation and current performance appraisal.  Care staff interviewed stated that they believed new staff were adequately orientated to the service.  Role-specific orientation for HCAs include completion of level 2 Careerforce.  A senior HCA is the facility Careerforce assessor.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practising certificates for RNs and allied health professionals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includes mandatory training days for RNs (professional and core clinical days) and HCAs and other support staff.  There are three cycles of training days which are rotated each year.  Staff are required to attend the mandatory training days, which includes health and safety, infection control and Eden principles and speakers, including the facility manager and clinical manager.  Records of attendance at the training days demonstrated that staff attend as required.  Individual record of training attendance is maintained.  There is additional education offered though the DHB and hospice.  The physiotherapist provides regular safe manual handling sessions.  Staff complete competencies relevant to their role including medication competencies.  Additional training was provided related to Covid-19 and competencies for donning and doffing of personal protective equipment were completed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RNs, two clinical coordinators, one clinical nurse manager and two ENs on staff.  Four RNs, two clinical coordinators and two ENs have completed interRAI training.  The CNM is in the process of completing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HCAs who work in the dementia unit.  Seven HCAs have completed level four dementia unit standards.  One HCA employed over 18 months has experienced delays in completion due to Covid-19.  There are three newly employed HCAs to commence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and clinical nurse manager work full-time Monday to Friday.  There are two hospital coordinators.  One covers the hospital wings and the other covers the rest home and dementia care unit.  They cover seven mornings a week with one working Sunday to Thursday and the other Tuesday to Saturday.  The clinical nurse manager and two clinical coordinators provide clinical on call cover.  There is one  RN on duty each morning who is supported by two EN’s with one working Sunday to Thursday and the other Tuesday to Saturday.  There is one RN on afternoon and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Matai dementia care unit has 18 beds and 14 residents on the day of audit.  There are two HCAs on the full morning shift and full afternoon shift.  There is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13 dual purpose rooms (including one double room) are located within the rest home wings.  In the 26-bed rest home – Kauri, there were13 rest home residents and three hospital level residents and in the Pohutukawa wing there are seven beds with four hospital residents and two rest home residents.  There are two HCAs on the full morning and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hospital wings: Kowhai 12 beds with eight hospital residents and one rest home resident, Rimu 4 beds with three hospital residents and Totara 14 beds with 10 hospital residents and four rest home residents.  The DHB fund four hours per day for an additional HCA to meet the required supports for one bariatric resident.  The funding is reviewed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 shifts there are four HCAs working the full shifts (with staggered start and finish times) plus two flexi shifts 8 am to 2.30 pm which can be extended or decreased to meet resident acuity and occupancy.  On the afternoons there are five HCAs on the full shift with three finishing at 10 pm.  There is one afternoon flexi shift (4-9 pm) which can be extended or decreased to meet resident acuity and occupancy.  Staff are allocated to the hospital wings for each shift.  On night shift there are three HCAs (one rest home and two hospital).  Hospital HCAs provide support to the rest home and dementia care unit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cleaning and laundry services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files were sampled from across each of the three levels of care.  The service uses an electronic medication system.  The medication management policies comply with medication legislation and guidelines.  Medicines are appropriately stored in accordance with relevant guidelines and legislation.  Resident’s medicines are stored securely in the medication rooms/cupboards in each of the three areas (rest home, hospital and dementia).  The medication rooms (along with two fridges) have their temperatures recorded and action taken if required to ensure temperatures remain within the guidelines range.  </w:t>
            </w:r>
          </w:p>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practice complies with the medication management policy for a medication round in each of the areas observed.  Registered nurses, enrolled nurses and healthcare assistants administer medicines.  All staff that administer medicines are competent and have received medication management training.  The facility has recently moved to the use of robotic packaging of medications.  The RN on duty reconciles the delivery and documents this.  The medical practitioner completes medication charting correctly and there was evidence of three-monthly reviews by the GP.  There were no residents self-administering medicines at the time of audit.  There are no standing orders.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fully functional kitchen, and all food is cooked on site.  There is a food services manual in place to guide staff.  There is a food control plan that expires 23 January 2021.  Cleaning schedules are detailed and evidence of them being consistently completed was available.  Temperature monitoring of fridges and freezers was consistent.  The previous findings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A resident nutritional profile is developed for each resident on admission and provided to the kitchen staff.  This document is reviewed at least six-monthly as part of the care plan review.  The kitchen meets the needs of residents who require special diets and the kitchen manager (appointed two months prior to audit) works closely with the RNs on duty.  There is another cook and six kitchenhands.  All staff have food safety training and there is further training arranged for 18 December 2020.  There was evidence that there are additional nutritious snacks available over the 24-hour period in the secure dementia unit.  The rest home and hospital have a buffet meal system for all residents and staff will serve meals for those who are unable to serve themselves or wish to be served.  Mealtimes observed in all units evidenced that staff were always available to assist and support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follows a rotating seasonal menu which has been reviewed by the PSC contracted dietitian (due for review March 2021).  There is special equipment available for residents if required.  All food is stored appropriately.  Residents and the family members interviewed were mostly happy with the quality and variety of food served and remarked on some positive recent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(RNs) and HCAs follow the care plan and report progress against the care plan each shift at handover.  When a resident’s condition alters, the registered nurse initiates a review and if required, arranges a GP visit.  There is evidence of three-monthly medical reviews or earlier for health status changes.  Residents and relatives interviewed confirmed care delivery and support by staff is consistent with their expectations.  Families confirmed they were informed of any changes to resident’s health status.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and dressing supplies.  On the days of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were in place for all identified wounds.  There were twenty-seven wounds on the day of audit including three pressure injuries (two hospital level care, one rest home level care) one of which was facility acquired.  One resident, admitted with an unstageable pressure injury (Section 31 notification was evidenced), showed the pressure injury now 95% healed.  All wounds have been reviewed in appropriate timeframes.  The RNs have access to specialist nursing wound care management advice through the district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HCAs demonstrated an understanding of the individualised needs of residents.  There was evidence of pressure injury prevention interventions such as repositioning charts.  Monitoring charts had been consistently documented as required including food and fluid charts, monitoring of bowels and regular (monthly or more frequently if required) weighs.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full-time diversional therapist (DT) and two part time activity staff (44 hours combined each week) who along with the DT provide activities seven days a week with assistance from volunteers (approximately 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set activity programme for the facility providing for the needs of hospital and rest home level residents in various spaces through the facility.  The previous finding relating to no specific activity plan for the dementia residents has been addressed with a plan now in place and the appointment of an activities person to work specifically with the dementia residents.  The activity plans are resident-focused and are planned around meaningful everyday activities and include a men’s group, sunshine club, quizzes, newspaper reading, bingo, knitting, gardening, walking clubs, van outings and themed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regular input into review of the wider programme (one-to-one, coffee club, monthly resident meetings and resident surveys) and this feedback is considered in the development of the resident’s activity programme.  There are individualised activity plans including specific interests for the younger persons.  </w:t>
            </w:r>
          </w:p>
          <w:p w:rsidR="00EB7645" w:rsidRPr="00BE00C7" w:rsidP="00BE00C7">
            <w:pPr>
              <w:pStyle w:val="OutcomeDescription"/>
              <w:spacing w:before="120" w:after="120"/>
              <w:rPr>
                <w:rFonts w:cs="Arial"/>
                <w:b w:val="0"/>
                <w:lang w:eastAsia="en-NZ"/>
              </w:rPr>
            </w:pPr>
            <w:r w:rsidRPr="00BE00C7">
              <w:rPr>
                <w:rFonts w:cs="Arial"/>
                <w:b w:val="0"/>
                <w:lang w:eastAsia="en-NZ"/>
              </w:rPr>
              <w:t>An activity profile is completed on admission in consultation with the resident/family (as appropriate).  Relatives interviewed advised that the activity programme was interesting with lots of choice and the residents were encouraged to participate.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recreational plans had been reviewed six-monthly at the same time as the care plans were reviewed.  Activity participation was noted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All care plans are on the Leecare system and evaluation and changes to care plans are made on an ongoing basis.  Long-term care plans are reviewed at least six-monthly by the multidisciplinary team (MDT).  Families are invited to be involved in the reviews. Reassessments have been completed using interRAI for all residents six-monthly or sooner for residents who have had a significant change in health status.  Short-term care plans were evaluated regularly and either resolved or added to the long-term care plan if the problem is ongoing.  There was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1 September 2021.  A maintenance person undertakes the reactive repairs and planned maintenance.  All medical and electrical equipment has been serviced and/or calibrated.  Hot water temperatures are monitored and managed within 43-45 degrees Celsius.  The facility has sufficient space for residents to mobilise using mobility aids.  External areas and gardens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access to safely designed external areas that have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area has safe access to the outdoor area, which is easy to access and is well maintained.  There are also quiet low stimulus areas that provide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enough equipment to safely deliver the cares as outlined in the resident care plans including bariatric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coordinator/CNM (supported by the facility manager) uses the information obtained through surveillance to determine infection control activities, resources and education needs at the facility.  The RNs complete an infection event form which alerts the infection control coordinator of resident infections.  Monthly infection events are collated on the Leecare system with an end of month trends and analysis report completed by the CNM.  Corrective actions for events above the benchmarking KPIs is reported to the senior team and discussed at facility clinical and staff meetings.  The service has a goal to reduce urinary tract infections by 50% and have introduced Hiprex in conjunction with good infection control practice and increased fluids.  The data is currently demonstrating a downward trend.  Internal infection control audits also assist the service in evaluating infection control needs.  The service continues to screen visitors and contractors on entry.  There are sufficient supplies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support of the use of enablers and restraints.  The policy meets the intent of the restraint minimisation standards.  The clinical nurse manager is the restraint coordinator and has a job description which defines the responsibility of the role.  There was one rest home resident with voluntary use of an enabler (bedrails) and one hospital resident with a restraint (bedrails) on the day of audit.  All required documentation and monitoring were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enablers and challenging behaviour education is completed on orientation and included in the mandatory training days for all care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Levin Home for War Veterans</w:t>
    </w:r>
    <w:bookmarkEnd w:id="58"/>
    <w:r>
      <w:rPr>
        <w:rFonts w:cs="Arial"/>
        <w:sz w:val="16"/>
        <w:szCs w:val="20"/>
      </w:rPr>
      <w:tab/>
      <w:t xml:space="preserve">Date of Audit: </w:t>
    </w:r>
    <w:bookmarkStart w:id="59" w:name="AuditStartDate1"/>
    <w:r>
      <w:rPr>
        <w:rFonts w:cs="Arial"/>
        <w:sz w:val="16"/>
        <w:szCs w:val="20"/>
      </w:rPr>
      <w:t>15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