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Kapsan Enterprises Limited - Chadderton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HealthShare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Kapsan Enterprises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Chadderton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20 January 2021</w:t>
      </w:r>
      <w:bookmarkEnd w:id="7"/>
      <w:r w:rsidRPr="009418D4">
        <w:rPr>
          <w:rFonts w:cs="Arial"/>
        </w:rPr>
        <w:tab/>
        <w:t xml:space="preserve">End date: </w:t>
      </w:r>
      <w:bookmarkStart w:id="8" w:name="AuditEndDate"/>
      <w:r w:rsidR="00A4268A">
        <w:rPr>
          <w:rFonts w:cs="Arial"/>
        </w:rPr>
        <w:t>20 January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Kapsan Enterprises Limited, trading as Chadderton Rest Home, provides rest home level care for up to a maximum of 28 residents. Short stay /respite can also be provided subject to bed availability. There was one resident who was being funded as requiring hospital level care. There were 15 residents at the time of the audit. There have been no significant changes to the service since the previous audit.</w:t>
      </w:r>
    </w:p>
    <w:p w:rsidRPr="00A4268A">
      <w:pPr>
        <w:spacing w:before="240" w:line="276" w:lineRule="auto"/>
        <w:rPr>
          <w:rFonts w:eastAsia="Calibri"/>
        </w:rPr>
      </w:pPr>
      <w:r w:rsidRPr="00A4268A">
        <w:rPr>
          <w:rFonts w:eastAsia="Calibri"/>
        </w:rPr>
        <w:t xml:space="preserve">Day to day operations and governance is provided by two directors, one of whom is the designated clinical nurse manager (CNM) and the other is the facility manager (FM) who oversees the building, grounds, equipment, quality and procurement. </w:t>
      </w:r>
    </w:p>
    <w:p w:rsidRPr="00A4268A">
      <w:pPr>
        <w:spacing w:before="240" w:line="276" w:lineRule="auto"/>
        <w:rPr>
          <w:rFonts w:eastAsia="Calibri"/>
        </w:rPr>
      </w:pPr>
      <w:r w:rsidRPr="00A4268A">
        <w:rPr>
          <w:rFonts w:eastAsia="Calibri"/>
        </w:rPr>
        <w:t>This surveillance audit was conducted against a sub-set of the Health and Disability Services Standards and the service’s contract with Auckland District Health Board (ADHB). The audit process included a review of areas of improvement identified during the last certification audit, review of relevant policies and procedures, samples of residents’ and staff files, observations and interviews with residents, the directors, staff, and the general practitioner (GP). The GP and residents and spoke positively about the care provided. No family members were available for interview during the audit.</w:t>
      </w:r>
    </w:p>
    <w:p w:rsidRPr="00A4268A">
      <w:pPr>
        <w:spacing w:before="240" w:line="276" w:lineRule="auto"/>
        <w:rPr>
          <w:rFonts w:eastAsia="Calibri"/>
        </w:rPr>
      </w:pPr>
      <w:r w:rsidRPr="00A4268A">
        <w:rPr>
          <w:rFonts w:eastAsia="Calibri"/>
        </w:rPr>
        <w:t xml:space="preserve">The previously identified area of improvement has been addressed. This audit resulted in three areas requiring improvement. These relate to essential notification reporting, evidence of a needs assessment for the resident requiring hospital level care and obtaining a current food control plan.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Effective communication is maintained. Open disclosure is practiced when required. Staff provide residents and families with the information they need to make informed choices and give consent. Resident feedback is encouraged and followed up. Interpreter services are available should they be required. The complaints process meets the requirements of consumer rights legislation.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Organisational performance is monitored. There is a documented and implemented quality and risk management system. The required policies and procedures are accessible. Quality activities are implemented. Quality data is collated and analysed. Improvements are made where required. Risks are identified and monitored. Adverse events are reported, documented, investigated and followed up. </w:t>
      </w:r>
    </w:p>
    <w:p w:rsidRPr="00A4268A">
      <w:pPr>
        <w:spacing w:before="240" w:line="276" w:lineRule="auto"/>
        <w:rPr>
          <w:rFonts w:eastAsia="Calibri"/>
        </w:rPr>
      </w:pPr>
      <w:r w:rsidRPr="00A4268A">
        <w:rPr>
          <w:rFonts w:eastAsia="Calibri"/>
        </w:rPr>
        <w:t xml:space="preserve">Human resource processes are fully implemented in line with employment legislation. Staff have the required skills and qualifications. On-going education is provided.  There is a sufficient number of staff on duty at all times.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Policies and procedures provide documented guidelines for access to service. Residents are assessed prior to entry to the service to confirm their level of care. The CNM is responsible for assessment, development and evaluation of care plans. Care plans are individualised and based on the residents’ assessed needs and routines. Interventions are appropriate and evaluated in a timely manner. </w:t>
      </w:r>
    </w:p>
    <w:p w:rsidRPr="00A4268A" w:rsidP="00621629">
      <w:pPr>
        <w:spacing w:before="240" w:line="276" w:lineRule="auto"/>
        <w:rPr>
          <w:rFonts w:eastAsia="Calibri"/>
        </w:rPr>
      </w:pPr>
      <w:r w:rsidRPr="00A4268A">
        <w:rPr>
          <w:rFonts w:eastAsia="Calibri"/>
        </w:rPr>
        <w:t>The service provides planned activities that meet the needs and interests of the residents as individuals and in group settings. There is a medicine management system in place. Three monthly medication reviews are conducted by the general practitioner (GP) and these were current. Staff involved in medication administration are assessed as competent.</w:t>
      </w:r>
    </w:p>
    <w:p w:rsidRPr="00A4268A" w:rsidP="00621629">
      <w:pPr>
        <w:spacing w:before="240" w:line="276" w:lineRule="auto"/>
        <w:rPr>
          <w:rFonts w:eastAsia="Calibri"/>
        </w:rPr>
      </w:pPr>
      <w:r w:rsidRPr="00A4268A">
        <w:rPr>
          <w:rFonts w:eastAsia="Calibri"/>
        </w:rPr>
        <w:t>The food service provides and caters for residents. Specific dietary likes and dislikes are accommodated. Residents’ nutritional requirements are met.</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have been no changes to the facility since the last audit. There was a current building warrant of fitness and approved evacuation plan.</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commitment to the minimising and appropriate use of restraint/enablers. Restraint and enablers are only used as a last resort to maintain the resident’s safety and comfort. There was one resident using bedrails as restraint at night for safety. Staff members received training regarding the management of challenging behaviours and restraint use.</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surveillance programme is fully implemented and appropriate to the size and scope of the service. All infections are recorded, with data collated each month, and then annually. Analysis and comparisons are made.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35</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12"/>
        <w:gridCol w:w="1280"/>
        <w:gridCol w:w="1044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procedure meets consumer rights legislation. Information on the complaint process is provided to residents and families in the admission booklet. Complaints and compliment forms are readily available. Residents confirmed that staff and management were approachable and that they would not hesitate to make a complaint. There is evidence in staff meeting minutes that management encourage staff to support residents to complain if they are not satisfied. Verbal complaints are raised in resident meetings, with actions documented.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is maintained. There has been one complaint received since the last audit. This had been acknowledged in writing and was investigated immediately by the facility manager/director. The complaint was found to be unsubstantiated. There was evidence that the complaint was well managed and reported to the district health board (DHB) and the ministry of health (MOH).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and records sampled confirmed that residents and family/whanau are accorded the right to full and frank information or open disclosure. The environment is conducive to effective communication and interpreter services are provided if required. Policies and procedures are in place if the interpreter services are needed to be accessed. Staff education has been provided related to appropriate communication methods. Documentation regarding open disclosure following incidents/accidents was evident.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is governed by the two directors. One of whom is the facility manager (FM) and the other the clinical nurse manager (CNM). The directors/managers have been in their positions for 15 years and have sufficient experience and qualifications to carry out these roles. For example, the CNM is a registered nurse who maintains a nursing portfolio, attends regular education to maintain skills and also works part time as an RN in a surgical hospital. The FM has qualification and experience in building management, health and safety and quality. The organisation is a current member of the NZ Aged Care Association.</w:t>
            </w:r>
          </w:p>
          <w:p w:rsidR="00EB7645" w:rsidRPr="00BE00C7" w:rsidP="00BE00C7">
            <w:pPr>
              <w:pStyle w:val="OutcomeDescription"/>
              <w:spacing w:before="120" w:after="120"/>
              <w:rPr>
                <w:rFonts w:cs="Arial"/>
                <w:b w:val="0"/>
                <w:lang w:eastAsia="en-NZ"/>
              </w:rPr>
            </w:pPr>
            <w:r w:rsidRPr="00BE00C7">
              <w:rPr>
                <w:rFonts w:cs="Arial"/>
                <w:b w:val="0"/>
                <w:lang w:eastAsia="en-NZ"/>
              </w:rPr>
              <w:t>The quality/business/risk plan which is reviewed annually, outlines the purpose, values, scope, and direction of the organisation. This also contains detailed annual and longer-term goals. The plan was last reviewed in December 2020.  A sample of directors/management meeting minutes confirmed regular discussions and actions to monitor organisational performance including corrective actions. For example, occupancy, human resources (HR), service performance, and any emerging risks and issues. Interview with FM and records sampled confirmed effective methods for ensuring services are provided in ways to meet the needs of residents.</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Auckland DHB, for rest home level care and respite. On the days of audit, 15 of the maximum 23 beds were occupied. There was one resident under 65 years old, who was admitted under ACC contract. There was also one resident who was requiring hospital level care (refer standard 1.3.3).</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quality and risk management system with policies and procedures that guide best practice. Procedures cover all necessary aspects of the service and contractual requirements, including reference to the interRAI Long Term Care Facility (LTCF) assessment tool and process. An additional COVID-19 manual has been purchased from the Health Quality and Safety Commission. The document control system ensures a systematic and regular review process, referencing of relevant sources, approval, distribution and removal of obsolete documents. The FM is responsible for document control.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 delivery and organisational performance is monitored by internal audits and resident and family/whanau feedback. An internal audit schedule is developed annually, with flexibility to make changes in the schedule based on risk. Internal audits sampled confirmed corrective actions and closure when the improvement has been made. Results of audits and monthly analysis of complaints, incidents and accidents and infections are collated, with comparisons made, and discussed at staff meetings. Meeting minutes sampled confirmed ongoing review of all quality related data. </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occur every six weeks which family/whanau members are invited to attend. Minutes of these meetings confirmed ongoing consultation and inclusion of residents and their families in decision making. The 2020 annual resident/family satisfaction survey indicated that residents were happy with the services provided, however there was general dissatisfaction with the reduced number of outings during the COVID-19 lockdown periods. Additional activities were provided during this time.</w:t>
            </w:r>
          </w:p>
          <w:p w:rsidR="00EB7645" w:rsidRPr="00BE00C7" w:rsidP="00BE00C7">
            <w:pPr>
              <w:pStyle w:val="OutcomeDescription"/>
              <w:spacing w:before="120" w:after="120"/>
              <w:rPr>
                <w:rFonts w:cs="Arial"/>
                <w:b w:val="0"/>
                <w:lang w:eastAsia="en-NZ"/>
              </w:rPr>
            </w:pPr>
            <w:r w:rsidRPr="00BE00C7">
              <w:rPr>
                <w:rFonts w:cs="Arial"/>
                <w:b w:val="0"/>
                <w:lang w:eastAsia="en-NZ"/>
              </w:rPr>
              <w:t>There is a risk management programme. The biggest risk to the organisation is currently reduced occupancy and the FM has several strategies in place to minimise the impact of the risk. Risk management also includes a health and safety programme. Health and safety audits occur regularly and a hazard register is maintained.  Review of staff meeting minutes confirmed that health and safety, hazards and management of any other risks is discussed at every meeting.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events on accident/incident forms. Adverse event forms sampled for 2020 were consistent in clearly describing and detailing the incident and recording who had been notified. Each falls event had attached records of post fall neurological observations. The managers review all incidents/accidents and investigate where necessary. Each incident form sampled included a management comment or preventative action for closure or follow-up. All events are categorised and collated, with comparisons made from the previous month and year. Adverse events are discussed at the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There is one area requiring improvement regarding essential notification reporting.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Staffing policies and processes are based on good employment practice and relevant legislation. The recruitment process includes the required checks, vetting and validation of qualifications and practising certificates (APCs) where required. Copies of current practising certificates were sighted. Staff records sampled confirmed the organisation’s policies are being consistently implemented and records are maintained. The director/FM routinely reviews personnel records to ensure compliance with policy and employment legislation.</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the essential components of service delivery. Staff records sampled included evidence of completed orientation and a performance review after a three-month period and then annually.</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and occurs each month. These include mandatory training requirements such as fire drills, first aid and medicines competency for those who administer medicines and other education to meet the requirements of the agreement with the DHB. There was evidence that additional one-off training was provided where a gap in knowledge had been identified. Most health care assistants (HCAs) have educational achievements related to the care of the older person. The CNM is trained to complete interRAI assessments and maintains competency. Records sampled confirmed good staff attendance at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The roster confirmed more than adequate staff cover has been provided, with staff replaced in any unplanned absence. All staff have a current first aid certificate. The directors and care staff interviewed stated that staffing levels are adjusted to meet the changing needs of residents and occupancy. </w:t>
            </w:r>
          </w:p>
          <w:p w:rsidR="00EB7645" w:rsidRPr="00BE00C7" w:rsidP="00BE00C7">
            <w:pPr>
              <w:pStyle w:val="OutcomeDescription"/>
              <w:spacing w:before="120" w:after="120"/>
              <w:rPr>
                <w:rFonts w:cs="Arial"/>
                <w:b w:val="0"/>
                <w:lang w:eastAsia="en-NZ"/>
              </w:rPr>
            </w:pPr>
            <w:r w:rsidRPr="00BE00C7">
              <w:rPr>
                <w:rFonts w:cs="Arial"/>
                <w:b w:val="0"/>
                <w:lang w:eastAsia="en-NZ"/>
              </w:rPr>
              <w:t>The FM is on site each weekday, and weekends if required. The CNM is onsite in excess of 20 hours per week. Both the CNM and FM are available after hours, with staff reporting that good access to advice is available when needed. There is a back-up registered nurse available in the event the CNM is absent. HCA’s reported there was adequate staff available to complete the work allocated to them. This was supported by the residents and family members interviewed.</w:t>
            </w:r>
          </w:p>
          <w:p w:rsidR="00EB7645" w:rsidRPr="00BE00C7" w:rsidP="00BE00C7">
            <w:pPr>
              <w:pStyle w:val="OutcomeDescription"/>
              <w:spacing w:before="120" w:after="120"/>
              <w:rPr>
                <w:rFonts w:cs="Arial"/>
                <w:b w:val="0"/>
                <w:lang w:eastAsia="en-NZ"/>
              </w:rPr>
            </w:pPr>
            <w:r w:rsidRPr="00BE00C7">
              <w:rPr>
                <w:rFonts w:cs="Arial"/>
                <w:b w:val="0"/>
                <w:lang w:eastAsia="en-NZ"/>
              </w:rPr>
              <w:t>There is a designated cleaner and cook, with HCA’s completing some domestic duties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system is implemented to ensure that residents receive medicines in a secure and timely manner. Medications were stored in a safe and secure way in the trolley and locked cupboards. Medication reconciliation is conducted by the CNM when the resident is transferred back to service from hospital, appointments, or when there are any medication changes. All medications were reviewed every three months and as required by the GP. Allergies were clearly indicated, and photos current for easy identification. </w:t>
            </w:r>
          </w:p>
          <w:p w:rsidR="00EB7645" w:rsidRPr="00BE00C7" w:rsidP="00BE00C7">
            <w:pPr>
              <w:pStyle w:val="OutcomeDescription"/>
              <w:spacing w:before="120" w:after="120"/>
              <w:rPr>
                <w:rFonts w:cs="Arial"/>
                <w:b w:val="0"/>
                <w:lang w:eastAsia="en-NZ"/>
              </w:rPr>
            </w:pPr>
            <w:r w:rsidRPr="00BE00C7">
              <w:rPr>
                <w:rFonts w:cs="Arial"/>
                <w:b w:val="0"/>
                <w:lang w:eastAsia="en-NZ"/>
              </w:rPr>
              <w:t>An annual medication competency is completed for all staff administering medication. The HCA observed administering medicines followed the required medication guidelines and legislative requirements. There were no residents on controlled drugs at the time of the audit. Monitoring of medicine fridge temperatures was conducted regularly and deviations from normal were reported and attended to promptly. All expired medications were returned to the pharmacy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There was one resident who was self-administering inhalers and was assessed as competent. A self-medication policy is in place. Medication administration records were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Meal services are prepared on site and served in the allocated dining room. An experienced and qualified cook is employed to oversee food services and is on site Monday to Friday for lunch and dinner. The other cook is rostered for the weekends. Diets were modified as required and the cooks confirmed awareness on dietary needs of the residents. Meals were served warm in sizeable portions required by residents and any alternatives were offered as required. The residents’ weights were monitored monthly and supplements were provided to residents with identified weight loss issues. The residents interviewed acknowledged satisfaction with the food service.</w:t>
            </w:r>
          </w:p>
          <w:p w:rsidR="00EB7645" w:rsidRPr="00BE00C7" w:rsidP="00BE00C7">
            <w:pPr>
              <w:pStyle w:val="OutcomeDescription"/>
              <w:spacing w:before="120" w:after="120"/>
              <w:rPr>
                <w:rFonts w:cs="Arial"/>
                <w:b w:val="0"/>
                <w:lang w:eastAsia="en-NZ"/>
              </w:rPr>
            </w:pPr>
            <w:r w:rsidRPr="00BE00C7">
              <w:rPr>
                <w:rFonts w:cs="Arial"/>
                <w:b w:val="0"/>
                <w:lang w:eastAsia="en-NZ"/>
              </w:rPr>
              <w:t>The kitchen and pantry were sighted and observed to be clean, tidy and stocked. Labels and dates were on all containers. Records of food temperature monitoring, fridges and freezers temperatures are maintained. Regular cleaning was conducted.</w:t>
            </w:r>
          </w:p>
          <w:p w:rsidR="00EB7645" w:rsidRPr="00BE00C7" w:rsidP="00BE00C7">
            <w:pPr>
              <w:pStyle w:val="OutcomeDescription"/>
              <w:spacing w:before="120" w:after="120"/>
              <w:rPr>
                <w:rFonts w:cs="Arial"/>
                <w:b w:val="0"/>
                <w:lang w:eastAsia="en-NZ"/>
              </w:rPr>
            </w:pPr>
            <w:r w:rsidRPr="00BE00C7">
              <w:rPr>
                <w:rFonts w:cs="Arial"/>
                <w:b w:val="0"/>
                <w:lang w:eastAsia="en-NZ"/>
              </w:rPr>
              <w:t>An improvement relating to expired food control plan (FCP) is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care plans reviewed evidenced that interventions were adequate to address the identified needs of residents. Significant changes were reported in a timely manner and prescribed orders carried out. The registered nurse reported that the GP’s medical input was sought within an appropriate timeframe, that medical orders were followed, and care was person centred. Care staff confirmed that care was provided as outlined in the care plan. A range of equipment and resources are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planned activities were appropriate to the residents’ needs and abilities. The activities were based on assessment and reflect the residents’ social, cultural, spiritual, physical, cognitive needs/abilities, past hobbies, interests and enjoyments. Social and recreational assessments were completed within two weeks of admission in consultation with the family/whanau. The activities were conducted by the DT with help from care staff during weekends. The DT in consultation with the CNM were involved in developing a monthly planner which was posted on the notice boards and given to all residents. The activities were varied and appropriate for rest home level of care residents and those under 65 years of age. These were offered from Monday to Sunday. Activities include housie, board games, indoor bowl, morning walk, music, in-house church services, bingo, one on one interactions, darts, movies, arts and craft. It was noted that there was a greater emphasis on providing activities during the COVID-19 lockdown period.</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had a documented activity care plan that reflected their preferred activities of choice and were evaluated every six months or as necessary. The residents were observed to be participating in a variety of activities on the audit day. The planned activities and community connections are suitable for the residents. There are regular outings/drives, for all residents (as appropriate). Residents interviewed reported overall satisfaction with the level and variety of activities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documented on each shift by care staff in the progress notes. The CNM reads progress notes weekly and documents, as necessary. All noted changes by the HCA’s were reported to the CNM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following reassessment to measure the degree of a resident’s response in relation to desired outcomes and goals occurred every six months or as residents’ needs change. These were carried out by the CNM in conjunction with family, the GP and specialist service providers. Where progress was different from expected, the service responded by initiating changes to the service delivery plan. </w:t>
            </w:r>
          </w:p>
          <w:p w:rsidR="00EB7645" w:rsidRPr="00BE00C7" w:rsidP="00BE00C7">
            <w:pPr>
              <w:pStyle w:val="OutcomeDescription"/>
              <w:spacing w:before="120" w:after="120"/>
              <w:rPr>
                <w:rFonts w:cs="Arial"/>
                <w:b w:val="0"/>
                <w:lang w:eastAsia="en-NZ"/>
              </w:rPr>
            </w:pPr>
            <w:r w:rsidRPr="00BE00C7">
              <w:rPr>
                <w:rFonts w:cs="Arial"/>
                <w:b w:val="0"/>
                <w:lang w:eastAsia="en-NZ"/>
              </w:rPr>
              <w:t>Short term care plans were reviewed weekly or as indicated by the degree of risk noted during the assessment process.  Interviews verified residents and family/whanau were included and informed of all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have been no changes to the facility since the last audit. The current building warrant of fitness was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Trial evacuations are completed every six months as required. Records of staff attendance are maintained. There is an approved emergency evacuation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of infections is carried out as specified in the infection control programme. The CNM reviews all reported infections, and these were documented. New infections and any required management plans are discussed at handover, to ensure early intervention occurs. All infections are recorded on the infection register, this information is collated monthly, reviewed and analysed by the CNM who will advise staff and management of the outcome. The GP is notified if there is any resistance to antimicrobial agents and evidence of GP involvement and laboratory reporting was sighted. The surveillance programme is reviewed during the annual review of the infection control programme. This last occurred in October 2020.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Chadderton Rest House demonstrate that the use of restraint is actively minimised. There was one resident using a restraint and no one using enablers. The policies and procedures have definitions of restraints and enablers that are compliant to the standard. Staff receive ongoing training education in restraint minimisation and challenging behaviour. The CNM is the designated restraint coordinator.</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54"/>
        <w:gridCol w:w="1280"/>
        <w:gridCol w:w="7212"/>
        <w:gridCol w:w="1332"/>
        <w:gridCol w:w="145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1.2.4.2</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understands their statutory and/or regulatory obligations in relation to essential notification reporting and the correct authority is notified where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managers demonstrated an understanding regarding essential notification reporting with regard to complaints and adverse events. There had been one event that was reported to the MOH and the DHB. The required documentation and correspondence was sighted. However, the requirement to report to the MOH regarding the one hospital level care resident had not been made. Refer standard 1.3.3 for details regarding this resident.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the required notification reporting had been made to the Ministry of Health.</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Complete notification reporting requirements.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menu complies with recognised nutritional good menu planning practices appropriate for older people. The menu has been reviewed by the registered dietitian. There was a four-weekly rotating summer menu in place. The food control plan registration expired in June 2020. Completion of the plan was delayed due to the COVID-19 pandemic. Email correspondence was sighted regarding the need to re-schedule.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control plan registration expired in June 2020.</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when the food control plan registration is renewed.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Initial admission assessments were completed in a timely manner and resident care plans were completed within three weeks of admission along with interRAI assessments. However, follow up assessments by the NASC team and notification to ministry of health were not completed for one resident. Closed out short term care plans were evidenced when there was a change in condition including (but not limited to): skin conditions, behaviour and mobility issues, chest infections, urinary tract infections and wound infections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required assessment determining level of care was not evident for one of the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of the assessment determining a change in the level of care.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Kapsan Enterprises Limited - Chadderton Rest Home</w:t>
    </w:r>
    <w:bookmarkEnd w:id="58"/>
    <w:r>
      <w:rPr>
        <w:rFonts w:cs="Arial"/>
        <w:sz w:val="16"/>
        <w:szCs w:val="20"/>
      </w:rPr>
      <w:tab/>
      <w:t xml:space="preserve">Date of Audit: </w:t>
    </w:r>
    <w:bookmarkStart w:id="59" w:name="AuditStartDate1"/>
    <w:r>
      <w:rPr>
        <w:rFonts w:cs="Arial"/>
        <w:sz w:val="16"/>
        <w:szCs w:val="20"/>
      </w:rPr>
      <w:t>20 January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