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CHT Te Awamutu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CHT Te Awamutu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January 2021</w:t>
      </w:r>
      <w:bookmarkEnd w:id="7"/>
      <w:r w:rsidRPr="009418D4">
        <w:rPr>
          <w:rFonts w:cs="Arial"/>
        </w:rPr>
        <w:tab/>
        <w:t xml:space="preserve">End date: </w:t>
      </w:r>
      <w:bookmarkStart w:id="8" w:name="AuditEndDate"/>
      <w:r w:rsidR="00A4268A">
        <w:rPr>
          <w:rFonts w:cs="Arial"/>
        </w:rPr>
        <w:t>20 January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CHT Te Awamutu is owned and operated by the CHT Healthcare Trust.  The service currently provides care for up to 60 residents requiring hospital (geriatric and medical), dementia, and rest home level care.  On the day of the audit, there were 59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management, and general practitioner.  </w:t>
      </w:r>
    </w:p>
    <w:p w:rsidRPr="00A4268A">
      <w:pPr>
        <w:spacing w:before="240" w:line="276" w:lineRule="auto"/>
        <w:rPr>
          <w:rFonts w:eastAsia="Calibri"/>
        </w:rPr>
      </w:pPr>
      <w:r w:rsidRPr="00A4268A">
        <w:rPr>
          <w:rFonts w:eastAsia="Calibri"/>
        </w:rPr>
        <w:t>A unit manager who is well qualified and experienced for the role, oversees the service and is supported by a clinical coordinator and the area manager.  Residents, relatives, and the GP interviewed spoke positively about the service provided.</w:t>
      </w:r>
    </w:p>
    <w:p w:rsidRPr="00A4268A">
      <w:pPr>
        <w:spacing w:before="240" w:line="276" w:lineRule="auto"/>
        <w:rPr>
          <w:rFonts w:eastAsia="Calibri"/>
        </w:rPr>
      </w:pPr>
      <w:r w:rsidRPr="00A4268A">
        <w:rPr>
          <w:rFonts w:eastAsia="Calibri"/>
        </w:rPr>
        <w:t>This audit has identified one area requiring improvement around monitoring of fridge temperatures.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at CHT Te Awamutu strive to ensure that care is provided in a way that focuses on the individual, values residents' autonomy and maintains their privacy and choice.  The service functions in a way that complies with the Health and Disability Commissioner’s Code of Consumers’ Rights.  Cultural needs of residents are met.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 planner.  Quality activities are conducted, and this generates improvements in practice and service delivery.  Meetings are held to discuss quality and risk management processes.  Residents’/family meetings have been held.  Health and safety policies, systems and processes are implemented to manage risk.  Incidents and accidents are reported and followed through.  An education and training programme has been implemented with a current training plan in place.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and reviews residents' needs, outcomes, and goals with the resident and/or family/whānau input.  Care plans viewed demonstrate service integration and are reviewed at least six- monthly.  Resident files include medical notes by the contracted general practitioner, nurse practitioner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Registered nurses and medication competent healthcare assistants responsible for the administration of medicines complete education and medication competencies.  The electronic medication charts are reviewed three-monthly by the general practitioner.</w:t>
      </w:r>
    </w:p>
    <w:p w:rsidRPr="00A4268A" w:rsidP="00621629">
      <w:pPr>
        <w:spacing w:before="240" w:line="276" w:lineRule="auto"/>
        <w:rPr>
          <w:rFonts w:eastAsia="Calibri"/>
        </w:rPr>
      </w:pPr>
      <w:r w:rsidRPr="00A4268A">
        <w:rPr>
          <w:rFonts w:eastAsia="Calibri"/>
        </w:rPr>
        <w:t>The activities coordinator and staff implement the activity programme to meet the individual needs, preferences, and abilities of the residents.  Residents are encouraged to maintain community links.  There are regular entertainers, outings, and celebrations.  Residents and families reported satisfaction with the activities programme.</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  There are nutritious snacks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 Safety datasheets and product sheets are available.  The building holds a current warrant of fitness.  All internal and external areas are safe and well maintained.  A reactive and preventative maintenance programme is in place.  The rest home and hospital rooms  each have an ensuite, the dementia unit has ensuite toilets and communal showers.  Fixtures, fittings, and flooring are appropriate.   There are sufficient lounges and private/quiet seating areas where residents who prefer quieter activities or visitors may sit.  All resident’s rooms are single.  There is sufficient space to allow care to be provided and for the safe use of mobility equipment.  There are policies and procedures on emergency and security situations including how services will be provided in health, civil defence, or other emergencies.  Residents’ rooms, communal bathrooms and living areas all have call bells.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CHT Te Awamutu has restraint minimisation and safe practice policies and procedures in place.  Staff receive training in restraint minimisation and challenging behaviour management.  Restraint and enablers were not in use on the days of audit.  Restraint management processes are adhered to.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(a registered nurse) is responsible for coordinating education and training for staff.  The infection control coordinator has completed annual training provided by CHT head office.  There is a suite of infection control policies and guidelines to support practice.  The infection control coordinator uses the information obtained through surveillance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31"/>
        <w:gridCol w:w="1280"/>
        <w:gridCol w:w="1012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policy and procedure is implemented.  Discussions with 15 staff (eight healthcare assistants, one registered nurse (RN), two activities coordinators, one cook, one maintenance staff, cook, one clinical coordinator), one unit manager and one area manager confirmed their familiarity with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observations during the audit and the review of eight resident records and other documentation indicated that staff are respectful of residents and incorporate the principals of the Code into their practice.  The service provides information on the Code to families and residents on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nine residents ((three rest home, five hospital and one at rest home level of care- post-acute convalescent care) and five families (two hospital and three dementia unit) confirmed the services being provided are in line with the Code.  The Code is discussed at resident and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in place.  Consent is included in the admission agreement and sought for appropriate events.  There is a culture in the service that was observed during the audit that is about choice and involving the resident in giving consent to activities of daily living.  Staff interviewed demonstrated an understanding of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confirmed that they discuss the principles of consent with relatives and residents on entry to the service with consent for service and confidentiality of information documented on admission.  All resident files reviewed included signed consent forms completed on the day of admission.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have the choice to make an advanced directive if they are deemed competent by the general practitioner or nurse practitioner.  In records reviewed, all competent residents have a documented advanced directive.  The resident signs these if competent.  The general practitioner or nurse practitioner has made a decision for some residents as not for resuscitation, with this noted as being a clinical medical decision.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open access to visitors of their choice.  There is a visitors' policy and guidelines available to ensure resident safety and well-being is not compromised by visitors to the service.  Access to community support/interest groups is facilitated for residents as appropriate with some residents observed to interact in the community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staff are available to take residents on community visits and staff are available to take people to appointments if family are not able to provide transport.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can have access to visitors of their choice at any time and are supported to access services within the community.  There were a large number of family visiting on days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complaints process.  There are complaint forms available throughout the facility.  Information about complaints is provided on admission.  Interview with residents demonstrated an understanding of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were able to describe the process around reporting complaints.  There is a complaints’ register.  There were seven complaints made in 2020.  All complaints reviewed had noted investigation, timeframes, corrective actions when required and resolutions were in place if required.  Results are fed back to complainants.  Discussions with residents confirmed that any issues are addressed, and they feel comfortable to raise any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from external providers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posters of the Code on display throughout the facility and leaflets are available in the foyer.  The service is able to provide information in different languages and/or in large print if requested.  Information is also given to next of kin or enduring power of attorney (EPOA) to read with the resident and discuss.  On entry to the service, the unit manager discusses the information pack with the resident and the family/whānau.  The information pack includes a copy of The Health and Disability Commissioner (HDC) Code of Health and Disability Services Consumers’ Rights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which align with the requirements of the Privacy Act 2020 and Health Information Privacy Code.  Staff were observed respecting resident’s privacy and could describe how they manage to maintain privacy and respect of personal property.  All residents interviewed stated their needs were met.  A policy describes spiritual care.  Church services are held at least weekly.  All residents interviewed indicated that residents’ spiritual needs are being met when required with some stating that they were supported to attend services of their choice in the community.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described appropriate processes to reduce the risk of abuse and neglect, and to identify and report this if it were suspected.  There have not been any incidents related to abuse or neglect in the past year.  The GP praised the service for the way services were delivered and stated that there was no evidence of abuse or neglect.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that they were encouraged to be as independent as possible.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quiet, low stimulus areas that provide privacy for residents in the dementia unit and opportunities during the day for residents in the dementia unit to interact with others in the service with appropriate supervision.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There is a Māori health plan.  There were no Māori residents on the day of audit.  Cultural and spiritual practice is supported, and identified needs are incorporated into the care planning process.  Staff have received training on the Treaty of Waitangi.  Discussions with staff confirmed that they are aware of the need to respond to cultural differences.  There are also staff who can speak te reo Māori.  Kaumatua from Tainui can provide advice and support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meet the cultural needs of its residents.  All residents interviewed reported that they were satisfied that their cultural and individual values were being met.  Family members (including those on behalf of residents in the dementia unit) interviewed, confirmed that values and beliefs are respected by staff.  Information gathered during assessment including residents’ cultural beliefs and values, are used to develop a care plan.  Staff receive training on cultural awareness.  Staff speak a range of languages including Afrikaans and Indian dialects.  </w:t>
            </w:r>
          </w:p>
          <w:p w:rsidR="00EB7645" w:rsidRPr="00BE00C7" w:rsidP="00BE00C7">
            <w:pPr>
              <w:pStyle w:val="OutcomeDescription"/>
              <w:spacing w:before="120" w:after="120"/>
              <w:rPr>
                <w:rFonts w:cs="Arial"/>
                <w:b w:val="0"/>
                <w:lang w:eastAsia="en-NZ"/>
              </w:rPr>
            </w:pPr>
            <w:r w:rsidRPr="00BE00C7">
              <w:rPr>
                <w:rFonts w:cs="Arial"/>
                <w:b w:val="0"/>
                <w:lang w:eastAsia="en-NZ"/>
              </w:rPr>
              <w:t>Staff in the dementia unit described paying particular attention to knowing the culture, values and beliefs of each resident and emphasising this in daily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staff code of conduct, which states there will be zero tolerance against any discrimination occurring.  The registered nurses supervise staff to ensure professional practice is maintained in the service.  The abuse and neglect processes cover harassment and exploitation.  All residents interviewed reported that the staff respected them.  </w:t>
            </w:r>
          </w:p>
          <w:p w:rsidR="00EB7645" w:rsidRPr="00BE00C7" w:rsidP="00BE00C7">
            <w:pPr>
              <w:pStyle w:val="OutcomeDescription"/>
              <w:spacing w:before="120" w:after="120"/>
              <w:rPr>
                <w:rFonts w:cs="Arial"/>
                <w:b w:val="0"/>
                <w:lang w:eastAsia="en-NZ"/>
              </w:rPr>
            </w:pPr>
            <w:r w:rsidRPr="00BE00C7">
              <w:rPr>
                <w:rFonts w:cs="Arial"/>
                <w:b w:val="0"/>
                <w:lang w:eastAsia="en-NZ"/>
              </w:rPr>
              <w:t>Job descriptions include responsibilities of the position, ethics, advocacy, and legal issues.  The orientation and employee agreement provided to staff on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aligns with the health and disability services standards, for residents with aged care needs.  Staffing policies include pre-employment and the requirement to attend orientation and ongoing in-service training.  Residents interviewed spoke positively about the care and support provided.  Staff interviewed had a sound understanding of principles of aged care and stated that they feel supported by the management team.  Staffing policies include the requirement to attend orientation and ongoing in-service training.  </w:t>
            </w:r>
          </w:p>
          <w:p w:rsidR="00EB7645" w:rsidRPr="00BE00C7" w:rsidP="00BE00C7">
            <w:pPr>
              <w:pStyle w:val="OutcomeDescription"/>
              <w:spacing w:before="120" w:after="120"/>
              <w:rPr>
                <w:rFonts w:cs="Arial"/>
                <w:b w:val="0"/>
                <w:lang w:eastAsia="en-NZ"/>
              </w:rPr>
            </w:pPr>
            <w:r w:rsidRPr="00BE00C7">
              <w:rPr>
                <w:rFonts w:cs="Arial"/>
                <w:b w:val="0"/>
                <w:lang w:eastAsia="en-NZ"/>
              </w:rPr>
              <w:t>The quality programme has been designed to monitor contractual and standards compliance and the quality-of-service delivery in the facility.  The unit manager is responsible for coordinating the internal audit programme.  An electronic system is used to extract data from the electronic resident management system and analyse incidents, infections, falls, unintended weight loss, pressure injuries, skin tears and complaints.  This extract is used to assist in implementing strategies to reduce further events.  Evidence-based practice is evident, promoting and encouraging good practice.  The service has links with the local community and encourages residents to remain independent.  Residents and relatives interviewed spoke positively about the care and support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stated that both the general practitioner and nurse practitioner who visit the service provide them with information and support whenever required.  A review of resident files confirmed that staff contact specialists and the general practitioner and/or nurse practitioner when required.  The general practitioner interviewed stated that the service provided a high quality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around open disclosure alerts staff to their responsibility to notify family/next of kin of any accidents/incidents that occur.  Sixteen incidents/accidents forms were reviewed for October to December 2020.  The forms included a section to record family notification.  All forms indicated family were informed or if family did not wish to be informed.  Relatives interviewed confirmed that they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While some meetings have not been held in 2020 as a result of the need for isolation during the Covid-19 pandemic as per the governments directive, there has been clear communication from head office through the unit and area manager.  This has resulted in staff continuing to provide appropriate care to residents during the pandemic. Residents and family stated that the service had provided good information during Covid lockdown periods and they were kept informed at all times of expectations and the progress of their family member.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CHT Te Awamutu is owned and operated by the CHT Healthcare Trust.  The service provides rest home, dementia, and hospital level care for up to 60 residents.  On the day of the audit, there were 59 residents in total: 10 rest home level with one resident using respite level care in the rest home; 30 hospital level in the 40 dual purpose bed unit; and 19 residents in the 20-bed dementia unit (made up of two 10-bed units).  All residents are contracted under the Aged Residential Related Care contract with one identified as being under Transition to Home PACC (post-acute convalescent care-) – Rest Home.  There are no residents under 65 years.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is a registered nurse and maintains an annual practicing certificate.  They have extensive experience in respiratory nursing and in aged care for five years and has been in the role for 18 months.  The clinical coordinator graduated in June 2020 and has been in the position since October 2020 following the resignation of the previous clinical coordinator.  The unit manager reports to the area manager weekly on a variety of operational issues.  Both the unit and area managers provide support for the clinical coordinator.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CHT has an overall business/strategic plan and CHT Te Awamutu has a facility quality and risk management programme in place for the current year.  The business/strategic plan and quality and risk management programme for 2020 has been reviewed.  The organisation has a philosophy of care, which includes a mission statement.  </w:t>
            </w:r>
          </w:p>
          <w:p w:rsidR="00EB7645" w:rsidRPr="00BE00C7" w:rsidP="00BE00C7">
            <w:pPr>
              <w:pStyle w:val="OutcomeDescription"/>
              <w:spacing w:before="120" w:after="120"/>
              <w:rPr>
                <w:rFonts w:cs="Arial"/>
                <w:b w:val="0"/>
                <w:lang w:eastAsia="en-NZ"/>
              </w:rPr>
            </w:pPr>
            <w:r w:rsidRPr="00BE00C7">
              <w:rPr>
                <w:rFonts w:cs="Arial"/>
                <w:b w:val="0"/>
                <w:lang w:eastAsia="en-NZ"/>
              </w:rPr>
              <w:t>The unit manager has completed in excess of eight hours of professional development in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Generally, in CHT, the clinical coordinator would be placed in charge with the area manager providing support.  If this occurred (noting that the unit manager has no planned leave), then the area manager would provide support for the clinical coordinator, with support from the registered nurses and care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business/strategic plan that includes quality goals and risk management plans.  Interviews with staff confirmed that quality data is discussed at the quarterly quality and health and safety meetings which have been held in March, July, September, and November 2020.  There were staff meetings held monthly however these have been replaced with cluster meetings to which all staff are invited.  The unit manager advised that they are responsible for providing oversight of the quality programme.  The quality and risk management programme is designed to monitor contractual and standards compliance.  The service's policies are reviewed at national level, with input from facility staff every two years.  There are also local unit review meetings with the chief executive officer, area manager, unit manager and clinical coordinator attending.  These have been held in March, June, and monthly thereafter to December 2020.  Registered nurse meetings are also held monthly noting that there were a reduced number of meetings during lockdown level four period, of Covid-19 pandemic.  New/updated/reviewed policies are sent from head office.  Staff have access to manuals.  Resident/relative meetings are held twice a year (March and November 2020).  Head office sent emails and letters to residents and family during the lockdown periods of the Covid-19 pandemic.  Restraint and enabler use is reported within the clinical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 comprehensive internal audit has been implemented. The Qlik Sense system is used as a tool for surveillance and gathering of data with the system linked to the patient management system – VCare.  Data is collected around operational and clinical areas of the business including accidents, incidents, complaints, infections, restraint use, and feedback on the customer experience.  Qlik benchmarking reports are provided quarterly and the results discussed at the quality health and safety meetings monthly.  The results of the customer experience survey showed that residents were very satisfied with care provided.  Documentation confirmed that corrective action plans are developed when issues are raised and there is evidence of resolution of issues completed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There are implemented risk management, and health and safety policies and procedures in place including accident and hazard management.  The unit manager is the designated health and safety person and health and safety issues along with one other health and safety representative.  Issues and concerns are addressed in the quality/health and safety meetings.  These are also discussed at the registered nurse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for individual residents and staff receive training to support falls prevention.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Residents/relatives’ satisfaction survey for 2020 shows a 70% to 80% satisfaction year to date.  The previous data at the same time in the previous year documented a similar response.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The unit manager investigates accidents and near misses and analysis of incident trends occurs.  There is a discussion of incidents/accidents at monthly clinical and staff meetings including actions to minimise recurrence.  Sixteen resident incident forms sampled demonstrated that appropriate clinical follow-up and investigation occurred following incidents.  Discussions with the unit manager confirmed that there is an awareness of the requirement to notify relevant authorities in relation to essential notifications.  There was appropriate notification made around the change in unit manager, clinical coordinator appointment, a gastric outbreak in October 2017 and two for pressure injuries – one unstageable pressure injury and one stage four.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requires that relevant checks be completed to validate the individual’s qualifications, experience, and veracity.  A copy of practising certificates is kept.  Seven staff files were reviewed (one clinical coordinator, two registered nurses, one activities coordinator and three healthcare assistants) and there is evidence that reference checks were completed before employment was offered.  Annual staff appraisals were evident in all staff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in-service education programme for 2020 is being implemented.  The unit manager and registered nurses are able to attend external training, including sessions provided by the local DHB.  Four of the eight registered nurses have completed interRAI training with the clinical coordinator currently enrolled in the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nine healthcare assistants who work in the dementia unit with seven having completed dementia unit standards as required in the contract.  There is one casual staff who relieves in the unit who has not completed dementia training, however they always works with a senior HCA (who has completed the unit standards).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is in place for determining staffing levels and skills mix for safe service delivery.  Rosters implement the staffing rationale.  There is a minimum of one RN on site at any time.  Activities are provided seven days a week.  Staff working on the days of the audit were visible and attending to call bells in a timely manner as confirmed by all residents interviewed.  Staff interviewed stated that overall, the staffing levels are satisfactory and that the managers provide good support.  Residents and family members interviewed reported there are sufficient staff numbers.</w:t>
            </w:r>
          </w:p>
          <w:p w:rsidR="00EB7645" w:rsidRPr="00BE00C7" w:rsidP="00BE00C7">
            <w:pPr>
              <w:pStyle w:val="OutcomeDescription"/>
              <w:spacing w:before="120" w:after="120"/>
              <w:rPr>
                <w:rFonts w:cs="Arial"/>
                <w:b w:val="0"/>
                <w:lang w:eastAsia="en-NZ"/>
              </w:rPr>
            </w:pPr>
            <w:r w:rsidRPr="00BE00C7">
              <w:rPr>
                <w:rFonts w:cs="Arial"/>
                <w:b w:val="0"/>
                <w:lang w:eastAsia="en-NZ"/>
              </w:rPr>
              <w:t>There is an RN for each shift, seven days a week, plus an additional RN from midday to 8 pm.</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assistants are staffed according to units as follows.</w:t>
            </w:r>
          </w:p>
          <w:p w:rsidR="00EB7645" w:rsidRPr="00BE00C7" w:rsidP="00BE00C7">
            <w:pPr>
              <w:pStyle w:val="OutcomeDescription"/>
              <w:spacing w:before="120" w:after="120"/>
              <w:rPr>
                <w:rFonts w:cs="Arial"/>
                <w:b w:val="0"/>
                <w:lang w:eastAsia="en-NZ"/>
              </w:rPr>
            </w:pPr>
            <w:r w:rsidRPr="00BE00C7">
              <w:rPr>
                <w:rFonts w:cs="Arial"/>
                <w:b w:val="0"/>
                <w:lang w:eastAsia="en-NZ"/>
              </w:rPr>
              <w:t>There are four wings; Koru one has seven hospital and three rest home residents, Koru two has eight hospital and two rest home resident, Mana three has six hospital and four rest home residents and Mana four has eight hospital and two rest home residents including the respite resident.  Each wing has the same staffing of; AM one long and one short shift, PM one long and one short shift.  There are two healthcare assistants over the four wings at night.</w:t>
            </w:r>
          </w:p>
          <w:p w:rsidR="00EB7645" w:rsidRPr="00BE00C7" w:rsidP="00BE00C7">
            <w:pPr>
              <w:pStyle w:val="OutcomeDescription"/>
              <w:spacing w:before="120" w:after="120"/>
              <w:rPr>
                <w:rFonts w:cs="Arial"/>
                <w:b w:val="0"/>
                <w:lang w:eastAsia="en-NZ"/>
              </w:rPr>
            </w:pPr>
            <w:r w:rsidRPr="00BE00C7">
              <w:rPr>
                <w:rFonts w:cs="Arial"/>
                <w:b w:val="0"/>
                <w:lang w:eastAsia="en-NZ"/>
              </w:rPr>
              <w:t>Dementia (two wings; 19 residents); the clinical coordinator assists in the AM and undertakes the medication rounds.  For the AM and PM shifts, there is one long-shift and one short-shift HCA on each with a registered nurse rostered from 12 pm to 8.30 pm seven days a week.  On night shift there is one HCA with the dementia unit with both units operating as one overnight.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rosters evidenced that unplanned leave is covered.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stated there are adequate staff on duty at all times.  Staff stated they feel supported by the management team who respond quickly to afterhours calls.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Informed consent to display photographs is obtained from residents/family/whānau on admission.  Other residents or members of the public cannot view sensitive resident information.  Entries in records are legible, dated and signed by the relevant healthcare assistant or registered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an information pack available for residents/families at entry.  The admission information pack outlines access, assessment, and the entry screening process.  The service operates twenty-four hours a day, seven days a week.  Comprehensive information about the service is made available to referrers, potential residents, and their families.  Resident agreements contain all detail required under the Aged Residential Care Agreement.  The eight admission agreements reviewed meet the requirements of the ARCC and were signed and dated.  Exclusions from the service are included in the admission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and residents interviewed stated that they have received the information pack and have received sufficient information prior to and on entry to the service.  Specific information about the dementia unit is provided to families.  Family members reported that the unit manager or unit coordinator are available to answer any questions regarding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The respite resident’s service use is monitored by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 up.  A record of transfer documentation is kept on the resident’s file.  All relevant information is documented and communicated to the receiving health provider or service.  The DHB ‘yellow envelope’ initiative is used to ensure the appropriate information is received on transfer to hospital and on discharge from hospital back to the facility.  Communication with family is made.  One file reviewed was of a resident who had been transferred to hospital acutely post-fall.  All appropriate documentation and communication had been completed.  Transfer to the hospital and back to the facility post-discharge, is documented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no residents self-administering on the day of audit.  All legal requirements had been met.  There are no standing orders in use.  There are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and robotic pack system.  Medications are checked on arrival and any pharmacy errors recorded and fed back to the supplying pharmacy.  RNs and senior medication competent HCAs administer medications.  Staff have up-to-date medication competencies and there has been medication education in the last year.  Registered nurses have syringe driver training completed by the hospice.  The medication fridge and room temperature are checked daily.  Eye drops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Sixteen medication charts were reviewed.  Medications are reviewed at least three-monthly by the GP.  There was photo identification and allergy status recorded.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Food and laundry services are outsourced to a contractor – ‘Compass’.  The kitchen unit manager oversees the procurement of the food and management of the kitchen.  All meals are cooked on site.  The kitchen was observed to be clean and well organised and a current approved food control plan was in evidence.  The kitchen had the audit to review this on day one of this certification audit.  Special equipment such as lipped plates is available.  On the day of audit, meals were observed to be well presented.  There is a kitchen manual and a range of policies and procedures to safely manage the kitchen and meal services.  Audits are implemented to monitor performance.  Kitchen fridge and freezer temperatures are monitored and recorded daily.  Food temperatures are checked at all meals and within safe limits, however four of four food fridges in resident areas were outside of the accepted temperature range with no corrective actions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a nutritional profile developed on admission, which identifies dietary requirements and likes and dislikes.  This is reviewed six-monthly as part of the care plan review.  Changes to residents’ dietary needs have been communicated to the kitchen.  Special diets and likes and dislikes are noted on a kitchen whiteboard.  The four-weekly seasonal menu cycle is written and approved by an external dietitian.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resident/families interviewed are happy with the meals.  Additional snacks are available at all times in the dementia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consumer and where appropriate their family/whānau member of choice.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files reviewed.  Initial interRAI assessments and reviews were evident in printed format in all resident files.  Resident files reviewed identified that risk assessments are completed on admission and reviewed six-monthly as part of the evaluation unless changes occur prior, in which case a review is carried out at that time.  Additional assessments for management of behaviour, pain, wound care, nutrition, falls and other safety assessments including restraint, are appropriately completed according to need.  For the resident files reviewed, the outcomes from assessments and risk assessments are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All care plans are resident-centred.  Interventions documented support needs and provide detail to guide care.  Residents and relatives interviewed stated that they were involved in the care planning process.  There was evidence of service integration with documented input from a range of specialist care professionals, including the podiatrist, wound care specialist and mental health care team for older people.  The care staff interviewed advised that the care plans were easy to follow.  Integration of records and monitoring documents are well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will initiate a GP consultation.  Staff stated that they notify family members about any changes in their relative’s health status.  Care plans have been updated as residents’ needs changed.  The nurse practitioner  and GP interviewed were complimentary of the service and care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evaluation forms are in place for all wounds.  Wound monitoring occurred as planned and there are also photos to show wound progress.  Wounds included two chronic wounds, four skin tears, a stage one sacral pressure injury (facility acquired) and one resident with four DHB-acquired pressure injuries (two stage one, one stage four and one unstageable).  The stage four and unstageable had section 31s submitted, appropriate wound care plans and specialist input.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All monitoring requirements including neurological observations had been documented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three activity coordinators covering seven days per week who plan and lead all activities.  The activities programme is overseen and signed off by a diversional therapist employed by CHT at another facility.  The dementia unit has a dedicated activity programme which is facilitated by the activity coordinator and healthcare assistants.  The dementia unit residents can also join in the hospital and rest home activities. Residents in the dementia unit have detailed 24-hour care plans and 24-hour activity plans that are personalised to the individual.  On the days of audit residents were observed participating in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in all areas.  Residents have the choice of a variety of activities which are varied according to resident preference and need.  These include (but are not limited to) exercises, walks outside, crafts, games, quizzes, entertainers, nerf gun hunts and bingo.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weekly outings, and the service utilises a wheelchair accessible taxi and volunteer community transport as needed.  There are regular entertainers visiting the facility.  Special events like birthdays, Easter, Mothers’ Day, and Anzac Day are celebrated.  There are visiting community groups such as choirs and children’s groups.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Activity plans are evaluated at least six-monthly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were positive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eight resident care plans reviewed (apart from the short-term respite) had been evaluated by the registered nurses six-monthly or earlier if there was a change in health status.  Activities plans are in place for each of the residents and these are also evaluated six-monthly.  There are three-monthly reviews by the GP for all residents which family are able to attend if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unit coordinator interviewed, gave examples of where a resident’s condition had changed, and the resident had been reassessed for a higher or different level of care.  Discussion with the unit coordinator and registered nurses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building warrant of fitness which expires May 2021.  There is a comprehensive planned maintenance programme in place.  Reactive and preventative maintenance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hoist and scales are checked annually.  Hot water temperatures have been monitored in resident areas and are within the acceptable range.  Flooring is safe and appropriate for residential care.  All corridors have safety rails and promote safe mobility with the use of mobility aids.  Residents were observed moving freely around the areas with mobility aids where required.  The external areas, courtyards and gardens are well maintained.  All courtyards have attractive features and are easily accessible to residents.  The dementia unit garden is securely fenced.  All outdoor areas have some seating and shade.  There is safe access to all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Most of the rest home and hospital rooms  each have an ensuite, the dementia unit has ensuite toilets and communal showers.  All rooms have hand basins.  There are also sufficient communal toilets and showers.  Handrails are appropriately placed in ensuite bathrooms and communal showers and toilets.  There is ample space in toilet and shower areas to accommodate shower chairs and a hoist if appropriate.  Communal toilet/shower/bathing facilities have a system that indicates if it is engaged or vacant.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Fixtures, fittings, floorings, and wall coverings are in good condition and are made from materials which allow for ease of cleaning.  Hot water temperatures are monitored monthly and are within safe range as per current guidelines and legislation.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single.  There is sufficient space to allow care to be provided and for the safe use of mobility equipment.  Staff interviewed reported that they have more than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Activities occur in all areas on a rotating basis, with residents being assisted to activities in different areas if they require it.  There are sufficient lounges and private/quiet seating areas where residents who prefer quieter activities or visitors may sit.  The dining areas are spacious, inviting, and appropriate for the needs of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outsourced.  There are two separate rooms – a ‘dirty’ room for linen/clothing awaiting collection and a ‘clean’ room for deliveries.  There is a cleaning manual available.  Cleaning and laundry services are monitored through the internal auditing system.  The cleaners’ equipment was attended at all times or locked away in the cleaners’ cupboard.  All chemicals on the cleaner’s trolley were labelled.  Sluice rooms were kept locked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emergency and security situations including how services will be provided in health, civil defence, or other emergencies.  All staff receive emergency training on orientation and ongoing.  Civil defence supplies are readily available within the facility and include water, food, and supplies (torches, radio, and batteries), emergency power and barbeque.  The facility keeps 50 litres of emergency water per resident on site in three external water tanks.  A generator is readily available on standby through a local company, the facility having a generator access port situated on an external wall.  The area manager interviewed on day of audit advised of facility plans to purchase their own generator in the near future.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fire evacuation scheme in place and six-monthly fire drills have been completed.  A resident building register is maintained.  Fire safety is completed with new staff as part of the health and safety induction and is ongoing.  All shifts have a current first aider on duty.  </w:t>
            </w:r>
          </w:p>
          <w:p w:rsidR="00EB7645" w:rsidRPr="00BE00C7" w:rsidP="00BE00C7">
            <w:pPr>
              <w:pStyle w:val="OutcomeDescription"/>
              <w:spacing w:before="120" w:after="120"/>
              <w:rPr>
                <w:rFonts w:cs="Arial"/>
                <w:b w:val="0"/>
                <w:lang w:eastAsia="en-NZ"/>
              </w:rPr>
            </w:pPr>
            <w:r w:rsidRPr="00BE00C7">
              <w:rPr>
                <w:rFonts w:cs="Arial"/>
                <w:b w:val="0"/>
                <w:lang w:eastAsia="en-NZ"/>
              </w:rPr>
              <w:t>Residents’ rooms, communal bathrooms and living areas all have call bells.  Call bells and sensor mats when activated show on a display panel and also give an audible alert.  Security policies and procedures are documented and implemented by staff.  The buildings are secure at night.  There is security lighting.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electrical.  Staff and residents interviewed, stated that this is effective.  There is a monitored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(ICC) is an RN.  Responsibility for infection control is described in the job description.  The ICC oversees infection control for the facility, reviews incidents on VCare and is responsible for the collation of monthly infection events and reports.  The infection control programme is reviewed annually by CHT.</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unwell.  Hand sanitisers are appropriately placed throughout the facility.  Residents are offered the annual influenza vaccine.  There has been one outbreak in the previous year which was appropriately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role was being overseen by the unit manager on the day of audit and has attended online CHT training in infection control.  There is access to infection control expertise within the DHB, CHT, wound nurse specialist, public health, and laboratory.  The GP monitors the use of antibiotics.  The ICC also liaises and meets regularly with the infection control committee.  Overall effectiveness of the programme is monitored by CHT head office and subject to a monthly review meeting with the area manager.</w:t>
            </w:r>
          </w:p>
          <w:p w:rsidR="00EB7645" w:rsidRPr="00BE00C7" w:rsidP="00BE00C7">
            <w:pPr>
              <w:pStyle w:val="OutcomeDescription"/>
              <w:spacing w:before="120" w:after="120"/>
              <w:rPr>
                <w:rFonts w:cs="Arial"/>
                <w:b w:val="0"/>
                <w:lang w:eastAsia="en-NZ"/>
              </w:rPr>
            </w:pPr>
            <w:r w:rsidRPr="00BE00C7">
              <w:rPr>
                <w:rFonts w:cs="Arial"/>
                <w:b w:val="0"/>
                <w:lang w:eastAsia="en-NZ"/>
              </w:rPr>
              <w:t>A COVID strategy and pandemic plan was available to staff on site with education and associated resources relating to hand hygiene, PPE and donning/doffing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have been developed by a CHT infection control specialist.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is responsible for coordinating education and ensuring staff complete the online training available on the Altura online education system.  Training on infection control is included in the orientation programme.  Staff have completed online infection control study in the last 12 months.  The ICC has also completed infection control audits.  Resident education occurs as part of providing daily cares and as applicable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coordinator/RN oversees infection surveillance for the service.  Surveillance is an integral part of the infection control programme and is described in CHTs infection control manual.  Monthly infection data is collected for all infections based on standard definitions as described in the surveillance policy.  Infection control data is monitored and evaluated monthly and annually.  Trends are identified, and analysed, and preventative measures put in place.  These, along with outcomes and actions are discussed at the combined quality/health and safety and infection control meetings.  Meeting minutes are available to staff.    Results from laboratory tests are available monthly.  There has been one outbreak in 2020 which was appropriately managed.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Restraint and enablers were not in use on the days of audit.  Policies and procedures include definition of restraint and enabler that are congruent with the definition in NZS 8134.0.  Staff training/education on restraint/enablers has been provided in 2020.  Restraint is discussed as part of staff meetings.  A registered nurse is the designated restraint coordinator.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13"/>
        <w:gridCol w:w="1280"/>
        <w:gridCol w:w="4783"/>
        <w:gridCol w:w="2438"/>
        <w:gridCol w:w="16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Food temperatures are checked at all meals and within safe limits, however four of four food fridges in resident areas were outside of the accepted temperature range with no corrective actions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four fridges in resident lounge/dining areas showed temperatures above that accepted in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fridge temperatures are within the range stated by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CHT Te Awamutu Home &amp; Hospital</w:t>
    </w:r>
    <w:bookmarkEnd w:id="58"/>
    <w:r>
      <w:rPr>
        <w:rFonts w:cs="Arial"/>
        <w:sz w:val="16"/>
        <w:szCs w:val="20"/>
      </w:rPr>
      <w:tab/>
      <w:t xml:space="preserve">Date of Audit: </w:t>
    </w:r>
    <w:bookmarkStart w:id="59" w:name="AuditStartDate1"/>
    <w:r>
      <w:rPr>
        <w:rFonts w:cs="Arial"/>
        <w:sz w:val="16"/>
        <w:szCs w:val="20"/>
      </w:rPr>
      <w:t>19 January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