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Annie Brydon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Annie Brydon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February 2021</w:t>
      </w:r>
      <w:bookmarkEnd w:id="7"/>
      <w:r w:rsidRPr="009418D4">
        <w:rPr>
          <w:rFonts w:cs="Arial"/>
        </w:rPr>
        <w:tab/>
        <w:t xml:space="preserve">End date: </w:t>
      </w:r>
      <w:bookmarkStart w:id="8" w:name="AuditEndDate"/>
      <w:r w:rsidR="00A4268A">
        <w:rPr>
          <w:rFonts w:cs="Arial"/>
        </w:rPr>
        <w:t>3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Annie Brydon Lifecare provides rest home and hospital level care for up to 71 residents. The service is operated by Heritage Lifecare Limited and managed by a care home and village manager. The care home and village manager is supported by the clinical services manager. Residents and staff spoke positively about the care provided.</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staff, contracted allied health providers and a general medical practitioner.</w:t>
      </w:r>
    </w:p>
    <w:p w:rsidRPr="00A4268A">
      <w:pPr>
        <w:spacing w:before="240" w:line="276" w:lineRule="auto"/>
        <w:rPr>
          <w:rFonts w:eastAsia="Calibri"/>
        </w:rPr>
      </w:pPr>
      <w:r w:rsidRPr="00A4268A">
        <w:rPr>
          <w:rFonts w:eastAsia="Calibri"/>
        </w:rPr>
        <w:t>There were no areas for improvement requiring follow-up from the previous audit. Two areas were identified for improvement at this audit in relation to care planning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 No external complaints have been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Heritage Lifecare Limited is the governing body and is responsible for the service provided.  A business plan and quality and risk management systems are fully implemented at Annie Brydon Lifecare and include a mission statement, philosophy scope, objectives, values, and goals. Systems are in place for monitoring the service, including regular reporting by the clinical services manager to the regional quality manager.</w:t>
      </w:r>
    </w:p>
    <w:p w:rsidRPr="00A4268A">
      <w:pPr>
        <w:spacing w:before="240" w:line="276" w:lineRule="auto"/>
        <w:rPr>
          <w:rFonts w:eastAsia="Calibri"/>
        </w:rPr>
      </w:pPr>
      <w:r w:rsidRPr="00A4268A">
        <w:rPr>
          <w:rFonts w:eastAsia="Calibri"/>
        </w:rPr>
        <w:t>The service is managed by an experienced care home and village manager. The care home and village manager is supported by a clinical services manager who has oversight of all clinical services in the facility.</w:t>
      </w:r>
    </w:p>
    <w:p w:rsidRPr="00A4268A">
      <w:pPr>
        <w:spacing w:before="240" w:line="276" w:lineRule="auto"/>
        <w:rPr>
          <w:rFonts w:eastAsia="Calibri"/>
        </w:rPr>
      </w:pPr>
      <w:r w:rsidRPr="00A4268A">
        <w:rPr>
          <w:rFonts w:eastAsia="Calibri"/>
        </w:rPr>
        <w:t>Quality and risk management systems are followed. There is an internal audit programme. Adverse events are documented on accident/incident forms.  An incident register is maintained. Accident/incident forms and meeting minutes evidenced corrective action plans are developed, implemented, monitored and signed off as being completed to address the issue/s that require improvement.  Staff, registered nurses and resident meetings are held on a regular basis.</w:t>
      </w:r>
    </w:p>
    <w:p w:rsidRPr="00A4268A">
      <w:pPr>
        <w:spacing w:before="240" w:line="276" w:lineRule="auto"/>
        <w:rPr>
          <w:rFonts w:eastAsia="Calibri"/>
        </w:rPr>
      </w:pPr>
      <w:r w:rsidRPr="00A4268A">
        <w:rPr>
          <w:rFonts w:eastAsia="Calibri"/>
        </w:rPr>
        <w:t xml:space="preserve">The hazard register evidenced review and updating of risks and the addition of new risks. </w:t>
      </w:r>
    </w:p>
    <w:p w:rsidRPr="00A4268A">
      <w:pPr>
        <w:spacing w:before="240" w:line="276" w:lineRule="auto"/>
        <w:rPr>
          <w:rFonts w:eastAsia="Calibri"/>
        </w:rPr>
      </w:pPr>
      <w:r w:rsidRPr="00A4268A">
        <w:rPr>
          <w:rFonts w:eastAsia="Calibri"/>
        </w:rPr>
        <w:t>Policies and procedures on human resources management are in place and processes are followed. An in-service education programme is provided and staff performance is monitored.</w:t>
      </w:r>
    </w:p>
    <w:p w:rsidRPr="00A4268A">
      <w:pPr>
        <w:spacing w:before="240" w:line="276" w:lineRule="auto"/>
        <w:rPr>
          <w:rFonts w:eastAsia="Calibri"/>
        </w:rPr>
      </w:pPr>
      <w:r w:rsidRPr="00A4268A">
        <w:rPr>
          <w:rFonts w:eastAsia="Calibri"/>
        </w:rPr>
        <w:t>The documented rationale for determining staffing levels and skill mixes is based on best practice.  Registered nurses are always rostered on duty. The clinical services manager and senior nurses cover the on-call after hours for clinical issues and the care home and village manager is available for any non-clinical issues that may arise.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Annie Brydon Lifecare have their needs assessed on admission by the multidisciplinary team. Assessments occur within the required timeframes. Shift handovers and communication via an electronic ‘message board’ guides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Residents and family members interviewed reported being well informed and involved in care planning and evaluation, and that the care provided by the staff is of a high standard. </w:t>
      </w:r>
    </w:p>
    <w:p w:rsidRPr="00A4268A" w:rsidP="00621629">
      <w:pPr>
        <w:spacing w:before="240" w:line="276" w:lineRule="auto"/>
        <w:rPr>
          <w:rFonts w:eastAsia="Calibri"/>
        </w:rPr>
      </w:pPr>
      <w:r w:rsidRPr="00A4268A">
        <w:rPr>
          <w:rFonts w:eastAsia="Calibri"/>
        </w:rPr>
        <w:t xml:space="preserve">The planned activity programme is provided by a diversional therapist and a recreation coordinator.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at the front entrance. Preventative and reactive maintenance programmes include equipment and electrical checks.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Three enablers were in use at the time of audit. Use of enablers is voluntary for the safety of residents in response to individual requests.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of aged care specific infections is undertaken at Annie Brydon Lifecare. Results are analysed, data is trended and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2"/>
        <w:gridCol w:w="1280"/>
        <w:gridCol w:w="104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home and facility manager (CH&amp;FM) is responsible for the management of complaints. The complaints and compliments forms and associated documents meet the requirements of Right 10 of the Code of Health and Disability Services Consumers’ Rights (The Code). Information on the complaint process is provided to residents and families on admission and was available throughout the facility. Residents and families interviewed knew how to make a complaint and to provide compliments.</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evidenced ten complaints have been received in the last year and that actions were taken through to an agreed resolution, were documented and processes completed within the timeframes required. Action plans showed any required actions or improvements that have been made where possible. Complaints are categorised into medication errors, skills and conduct, safety/incident, quality of care and communication breakdown.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external complaints received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health status, were advised in a timely manner about any incidents or accidents and outcomes of regular and any urgent medical reviews. This was supported in residents’ records reviewed. There was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Taranaki district health board (TDHB), Māori Health Advisors and when needed by family members and/or staff for whom English is not their first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 (HLL) is responsible for the services provided.  A business plan 2020 signed off by the regional operations manager was reviewed and includes a mission statement, philosophy, scope, objectives, values, and goals. Annual and longer-term objectives and the associated operational plans were sighted. The mission statement and philosophy of the organisation is also displayed at the entrance to the facility. The business plan is currently being reviewed for 2021 and will be redeveloped and implemented for March 2021. The CH &amp; VM is responsible for the day to day management of Annie Brydon Lifecare and reports to the regional quality manager and the regional operations manager. The CH &amp; VM demonstrated a sound knowledge on all aspects of the service provided including the monitoring of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CH &amp; VM has been in their current position for three years and prior to this appointment had managed other aged care facilities for 19 years.  The management of clinical services is the responsibility of the clinical services manager (CSM) who has been in this role for approximately two years. The unit coordinator a senior registered nurse was available to assist in the absence of the CSM for this audit. The CH &amp; VM and CSM have completed relevant education for their roles. The CSM has a current practising certificate.</w:t>
            </w:r>
          </w:p>
          <w:p w:rsidR="00EB7645" w:rsidRPr="00BE00C7" w:rsidP="00BE00C7">
            <w:pPr>
              <w:pStyle w:val="OutcomeDescription"/>
              <w:spacing w:before="120" w:after="120"/>
              <w:rPr>
                <w:rFonts w:cs="Arial"/>
                <w:b w:val="0"/>
                <w:lang w:eastAsia="en-NZ"/>
              </w:rPr>
            </w:pPr>
            <w:r w:rsidRPr="00BE00C7">
              <w:rPr>
                <w:rFonts w:cs="Arial"/>
                <w:b w:val="0"/>
                <w:lang w:eastAsia="en-NZ"/>
              </w:rPr>
              <w:t>Occupancy on the first day of the audit consisted of 69 residents, 51 rest home level care (inclusive of one respite care resident) and 18 hospital level care (inclusive of one palliative care resident under an agreement with hospice). The TDHB are fully informed of this 42 day stay agreement for this one resident.  There are 56 dual beds at this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plan guides the quality programme that reflects the principles of continuous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health and safety, restraint and infection prevention and control combined staff meetings and separate RN meetings are held monthly.  Staff meetings include topics of interest. Meeting minutes including quality data are available in the nurses’ station for staff to read.  Meeting minutes evidenced reporting of completed internal audits, comprehensive quality data, including clinical indicators which are graphed. The CH &amp; VM is experienced in quality and risk management processes and is responsible for ensuring the organisation’s quality and risk management systems are maintained and outcomes are reported monthly to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indicators and quality improvement data are recorded on various registers and forms and were reviewed. There was documented evidence that quality improvement data is being collected, collated, comprehensively analysed and reported.  Quality improvement data reviewed included adverse event forms, internal audits, meeting minutes, and health and safety. Corrective action plans are being developed, implemented, monitored and signed off as being completed. </w:t>
            </w:r>
          </w:p>
          <w:p w:rsidR="00EB7645" w:rsidRPr="00BE00C7" w:rsidP="00BE00C7">
            <w:pPr>
              <w:pStyle w:val="OutcomeDescription"/>
              <w:spacing w:before="120" w:after="120"/>
              <w:rPr>
                <w:rFonts w:cs="Arial"/>
                <w:b w:val="0"/>
                <w:lang w:eastAsia="en-NZ"/>
              </w:rPr>
            </w:pPr>
            <w:r w:rsidRPr="00BE00C7">
              <w:rPr>
                <w:rFonts w:cs="Arial"/>
                <w:b w:val="0"/>
                <w:lang w:eastAsia="en-NZ"/>
              </w:rPr>
              <w:t>Relevant standards are identified and included in the policies and procedures manuals.  Policies and procedures reviewed are relevant to the scope and complexity of the service, reflected current accepted good practice, and referenced legislative requirements. Policies / procedures are available with systems in place for reviewing and updating the policies and procedures regularly from support office. A policy for document update reviews and document control policy was sighted.  The office administrator is responsible for replacing the policies and procedures in the documentation control system. Staff confirmed they are advised of updated policies and that they provide appropriate guidance for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surveys are completed by support office covering residents, family and staff. Feedback is provided to the CH &amp;VM for service quality improvement if required. </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associated with human resources management, legislative compliance, contractual and clinical risk. The hazard register identifies hazards and evidenced the actions put in place to isolate or eliminate risks. Newly found hazards are communicated to staff and residents as appropriate. The CSM and the unit coordinator are responsible for hazards management. The CH &amp; VM demonstrated a sound understanding of health and safety requirements in the absence of the CSM and was familiar with the Health and Safety at Work Act (2015) and the implemented requirements.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documenting adverse, unplanned or untoward events on an accident/incident form including neurological observations and falls risk assessments following accidents/incidents as appropriate. All clinical incident/accident forms are collated by the CSM. A copy is kept in the electronic resident records. The CH &amp; VM is responsible for non-clinical events.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files evidenced communication with families following adverse events involving the resident, or any change in the resident’s condition.  Families confirmed they are advised in a timely manner following any adverse event or change in their relative’s condition. The satisfaction surveys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are made aware of their essential notification responsibilities through job descriptions, policies and procedures, and professional codes of conduct. Review of staff files confirmed this.  Policy and procedures comply with essential notification reporting. The CH &amp; VM advised there has been two essential notification made to the Ministry of Health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known legislative or compliance issues impacting on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human resources management are in place. Staff files reviewed included job descriptions which outline accountability, responsibilities and authority, employment agreements, references, completed orientation, competency assessments, education records and police vetting. </w:t>
            </w:r>
          </w:p>
          <w:p w:rsidR="00EB7645" w:rsidRPr="00BE00C7" w:rsidP="00BE00C7">
            <w:pPr>
              <w:pStyle w:val="OutcomeDescription"/>
              <w:spacing w:before="120" w:after="120"/>
              <w:rPr>
                <w:rFonts w:cs="Arial"/>
                <w:b w:val="0"/>
                <w:lang w:eastAsia="en-NZ"/>
              </w:rPr>
            </w:pPr>
            <w:r w:rsidRPr="00BE00C7">
              <w:rPr>
                <w:rFonts w:cs="Arial"/>
                <w:b w:val="0"/>
                <w:lang w:eastAsia="en-NZ"/>
              </w:rPr>
              <w:t>The implementation of the organisation’s education programme is the responsibility of the CH &amp; VM and is a strength of the service. In-service education is provided for staff using several mechanisms, including at least monthly sessions, on-line learning, toolbox sessions at handover, specific topics relating to resident’s health status and staff meetings. The local DHB also provides an education programme for both managers and registered nurses (RNs) and enrolled nurses (ENs). Individual records of education are held on staff individual files and electronically. The office administrator maintains the records. Competencies were current including medicines, restraint, manual handling, fire safety and personal cares. Attendance records are maintained. Education sessions are evaluated by the CSM and any corrective actions developed and implemented. Three of 10 RNs are interRAI trained and have current competencies, including the CSM.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coordinator, the enrolled and registered nurses and three activities staff have all completed relevant first aid training.  </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is available for staff to complete and they are encouraged to do so. The assessor for training is a registered nurse from another service who is responsible for care staff education for three facilities in this region. Training records are maintained. There are 35 support workers employed. Currently six care staff are in training for level 3, level three completed (10) and level four (4). Four staff have been offered the education and are yet to be enrolled. Eleven (11) staff are not completing any levels currently but have completed all competency requirements. The three cleaners and two laundry staff have completed level 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in place and all new staff are required to complete this prior to their commencement of care to residents. The entire orientation process, including completion of competencies, takes up to a month to complete and staff performance is reviewed at 12 weeks and annually thereafter. Orientation for staff covers all essential components of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HLL rationale for determining staffing levels and skill mixes to provide safe service delivery. The CH &amp; VM and CSM are responsible for the staff coverage of the facility. The CH &amp; VM interviewed stated that consideration of dependency levels of residents and the physical environment is taken into account. There are three service areas by design within the facility to be adequately covered. The rosters evidenced appropriate staff coverage in all service areas with ‘runner’ caregivers who move between services when the daily demands are determined by the CSM or unit coordinator. There are dedicated cleaners and laundry staff. The maintenance coordinator of the building is responsible for all maintenance and a grounds person for the gardens is available.  Three recreational staff cover the activities programme for residents. The after-hours is covered by the CSM and senior registered nurses. Bureau staff have not been used at this facility for the last three years due to stable core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were reviewed and confirmed that staff cover was provided, with staff replaced in any unplanned absence. At least one staff member on duty has a current first aid certificate and there is 24 hour/seven days a week (24/7) registered nurse coverage. Care staff interviewed reported there is adequate staff available and that they can get through the work allocated to them. Residents and families interviewed reported the number of staff on duty is adequate to provide them or their relative with safe care.  Observations during this audit confirmed adequate staff cover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 A discussion with the RN administering the medication on the day of audit, identified that, at times, the two people checking the controlled drug medication, do not go to the bedside. A random sampling of pages in the controlled drug book identified an error and these areas require attention. A random control drug count verified accuracy.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was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clinical services manager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Annie Brydon.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15 January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at Annie Brydon, issued by the South Taranaki District Council on 23 December 2020, due to expire 23 February 2022.</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two dining rooms at Annie Brydon and there were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that referred to in criterion 1.3.3.4, documentation, observations, and interviews verified the care provided to residents at Annie Brydon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at handover and as directed by the RN.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and a recreation co-ordinator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The organisation’s support office provides monthly themes for the activity programme, with a range of ideas. This is used in conjunction with activity assessments and resident input to formulate a programme that is meaningful to the residents.  Activities assessments are regularly reviewed and evaluated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crafts, visiting entertainers, quiz sessions, movie sessions, van outings, games, yoga, walks and daily news updates. The activities programme is discussed at the residents’ and family meetings and minutes indicated residents’ input is sought and responded to. Resident and family satisfaction surveys demonstrated satisfaction with the programme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systems status report has been issued in lieu of a BWOF (form 12). A BWOF was unable to be supplied and displayed due to Covid-19 alert level restrictions preventing one or more scheduled inspections/maintenance procedures of the compliance schedule from being carried out. All specified systems in the building are currently performing to the performance standards stated in the building’s compliance schedule. The premises compliance expiry date from Fire Security Services is 15 October 2021 and this is displayed in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Annie Brydon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who is the CSM, reviews all reported infections. Monthly surveillance data is entered into the organisation’s electronic infection data base and analysed to identify any trends, possible causative factors and required actions. Results of the surveillance programme are shared with staff via quality/RN and staff meetings and at staff handovers.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Annie Brydon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a registered nurse, provides support and oversight for enabler and restraint management in the facility and a job description was reviewed.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no residents were using a restraint. Three residents were using enablers, which were the least restrictive and use voluntarily at their request. A similar process is followed for the use of enablers as is used for restraints. The enabler register was reviewed.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5"/>
        <w:gridCol w:w="1280"/>
        <w:gridCol w:w="6857"/>
        <w:gridCol w:w="2123"/>
        <w:gridCol w:w="16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 with an RN identified that occasionally at lunchtimes, when everyone is busy, the two people checking controlled drugs do not go to the resident’s bedside and therefore cannot verify the correct drug is administered to the correct resident. A random check of the controlled drug register identified a discrepancy in the liquid dose remaining. On querying this with an RN, it was identified when any liquid controlled drug is no longer required it is witnessed and tipped down the sink. The discrepancy in the controlled drug register was because an amount had not been recorded as ‘discarded’. Further discussion identified this practice has been long standing.</w:t>
            </w:r>
          </w:p>
          <w:p w:rsidR="00EB7645" w:rsidRPr="00BE00C7" w:rsidP="00BE00C7">
            <w:pPr>
              <w:pStyle w:val="OutcomeDescription"/>
              <w:spacing w:before="120" w:after="120"/>
              <w:rPr>
                <w:rFonts w:cs="Arial"/>
                <w:b w:val="0"/>
                <w:lang w:eastAsia="en-NZ"/>
              </w:rPr>
            </w:pPr>
            <w:r w:rsidRPr="00BE00C7">
              <w:rPr>
                <w:rFonts w:cs="Arial"/>
                <w:b w:val="0"/>
                <w:lang w:eastAsia="en-NZ"/>
              </w:rPr>
              <w:t>A further random review of controlled medications (pills) found accurate records for those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of managing controlled drugs at Annie Brydon does not ensure the correct resident is getting the correct medication. The discarding of controlled drugs at Annie Brydon is not occurring as per safe practice guidelines and in accordance with legislative requirements.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controlled drugs no longer required are managed as per legislative requirements. Provide evidence that staff who check controlled drugs ensure the drug is administered to the correct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eight residents’ care plans did not include documentation that described fully the residents’ required clinical needs. The areas of need specifically related to special precautions in managing a wound, acknowledging a chronic respiratory condition and required management strategies, the presence of a pressure injury, acknowledging the presence of an indwelling catheter, and management plan, a deteriorating resident with no update to the care plan, the absence of a pain, dietary and skin assessment, plus associated management plans, including daily blood sugar monitoring. Evidence was sighted of residents’ care in attending to these needs being met. The unit coordinator agreed with the finding and identified this was due to the recent recruitment of new and inexperienced RNs. The regional quality manager agreed with the finding, as it matched the findings of a recent in-house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documentation in the care plans of several residents reviewed at Annie Brydon did not fully describe the care the residents’ needs to enable continuity and promote a team approach.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residents’ care is documented to enable a coordinated approach and ensure continuity of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Annie Brydon Lifecare</w:t>
    </w:r>
    <w:bookmarkEnd w:id="58"/>
    <w:r>
      <w:rPr>
        <w:rFonts w:cs="Arial"/>
        <w:sz w:val="16"/>
        <w:szCs w:val="20"/>
      </w:rPr>
      <w:tab/>
      <w:t xml:space="preserve">Date of Audit: </w:t>
    </w:r>
    <w:bookmarkStart w:id="59" w:name="AuditStartDate1"/>
    <w:r>
      <w:rPr>
        <w:rFonts w:cs="Arial"/>
        <w:sz w:val="16"/>
        <w:szCs w:val="20"/>
      </w:rPr>
      <w:t>3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