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Waiapu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Waiapu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January 2021</w:t>
      </w:r>
      <w:bookmarkEnd w:id="7"/>
      <w:r w:rsidRPr="009418D4">
        <w:rPr>
          <w:rFonts w:cs="Arial"/>
        </w:rPr>
        <w:tab/>
        <w:t xml:space="preserve">End date: </w:t>
      </w:r>
      <w:bookmarkStart w:id="8" w:name="AuditEndDate"/>
      <w:r w:rsidR="00A4268A">
        <w:rPr>
          <w:rFonts w:cs="Arial"/>
        </w:rPr>
        <w:t>26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provider is planning to add another seven dual-purpose bedrooms, two of which will have a shared ensuite. As a result of the reconfiguration of rooms, a fire wall is to be installed between living and service areas. This has not yet commenced, therefore was not part of this audit.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Heritage Lifecare Limited-Waiapu House provides rest home and hospital level care for up to 74 residents. The service is operated by Heritage Lifecare Limited and managed by a care home manager, a clinical services manager and a unit coordinator.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contracts with the district health board. The audit process included review of policies and procedures, review of residents’ and staff files, observations and interviews with residents, family, management, staff, an advocate and a nurse practitioner. </w:t>
      </w:r>
    </w:p>
    <w:p w:rsidRPr="00A4268A">
      <w:pPr>
        <w:spacing w:before="240" w:line="276" w:lineRule="auto"/>
        <w:rPr>
          <w:rFonts w:eastAsia="Calibri"/>
        </w:rPr>
      </w:pPr>
      <w:r w:rsidRPr="00A4268A">
        <w:rPr>
          <w:rFonts w:eastAsia="Calibri"/>
        </w:rPr>
        <w:t>The audit has identified three areas of improvements over two standards and related to the completion of maintenance tasks and adherence to the maintenance schedule, the need for a facility focused hazard register and the need to focus on the prevention of recurrence when reviewing clinical incidents.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of Heritage Lifecare Limited-Waiapu House have The Health and Disability Commissioner’s Code of Health and Disability Services Consumers’ Rights (the Code) made available to them at the time of admission. Opportunities to discuss the Code, consent and availability of advocacy services is also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the residents.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Residents and family members are informed about the complaints process at the time of admission and reminded thereafter as relevant.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A facility-based business plan sits alongside an organisational one. These plans include the scope, goals, values and mission statement of the organisation and of the facility and link to separate quality and risk management plans. Monitoring of the services provided to the support office and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Ongoing reviews are ensuring quality and risk are being managed effectively with the collection and analysis of quality improvement data and identification of trends.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External staff training opportunities are offered and internal training is delivered on a regular basis. Special topics and competency assessments are added to the education schedule as required to support safe service delivery. Annual staff performance reviews are up to date. Staffing levels and skill mixes are altered to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an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staff of Heritage Lifecare Limited-Waiapu House work closely with the local Needs Assessment and Service Co-ordination service, to ensure access to the facility is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an activity’s coordinator and two activity assistants. The programme provides residents with a variety of individual and group activities, seven days a week and maintains their links with the community. Two facility vans are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Waste, soiled linen and equipment are well-managed, and chemicals are safely stored. Staff have access to, and use, protective equipment and clothing. </w:t>
      </w:r>
    </w:p>
    <w:p w:rsidRPr="00A4268A">
      <w:pPr>
        <w:spacing w:before="240" w:line="276" w:lineRule="auto"/>
        <w:rPr>
          <w:rFonts w:eastAsia="Calibri"/>
        </w:rPr>
      </w:pPr>
      <w:r w:rsidRPr="00A4268A">
        <w:rPr>
          <w:rFonts w:eastAsia="Calibri"/>
        </w:rPr>
        <w:t xml:space="preserve">The facility meets the needs of residents and is clean. Refurbishment of the facility is ongoing. A current building warrant of fitness is on display.  Electrical equipment is tested, and medical equipment calibration checks are completed as required. Communal and individual spaces are well ventilated and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Laundry is undertaken onsite. Cleaning and laundry processes are evaluated for effectiveness through the internal audit system.</w:t>
      </w:r>
    </w:p>
    <w:p w:rsidRPr="00A4268A">
      <w:pPr>
        <w:spacing w:before="240" w:line="276" w:lineRule="auto"/>
        <w:rPr>
          <w:rFonts w:eastAsia="Calibri"/>
        </w:rPr>
      </w:pPr>
      <w:r w:rsidRPr="00A4268A">
        <w:rPr>
          <w:rFonts w:eastAsia="Calibri"/>
        </w:rPr>
        <w:t>Staff are trained in emergency procedures and the use of emergency equipment and supplies. Fire evacuation procedures are practised according to requirements. Call bell response timeframes are monitored regularly, and security systems are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Organisational policies and procedures on restraint minimisation and safe practice are being implemented. At the time of audit, four enablers and five restraints are in use, with one person using two types. Comprehensive assessment, approval and monitoring processes with regular reviews are occurring. Use of enablers is voluntary for the safety of residents and is in response to individual requests. Staff demonstrate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officer, aims to prevent, and manage infections. Specialist infection prevention and control advice is accessed from the Hawkes Bay District Health Board.</w:t>
      </w:r>
    </w:p>
    <w:p w:rsidRPr="00A4268A">
      <w:pPr>
        <w:spacing w:before="240" w:line="276" w:lineRule="auto"/>
        <w:rPr>
          <w:rFonts w:eastAsia="Calibri"/>
        </w:rPr>
      </w:pPr>
      <w:r w:rsidRPr="00A4268A">
        <w:rPr>
          <w:rFonts w:eastAsia="Calibri"/>
        </w:rPr>
        <w:t>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27"/>
        <w:gridCol w:w="1280"/>
        <w:gridCol w:w="94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Limited-Waiapu House (Waiapu)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and contact details were also displayed in the facility. Family/whānau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Staff were aware of how to access the Advocacy Service.</w:t>
            </w:r>
          </w:p>
          <w:p w:rsidR="00EB7645" w:rsidRPr="00BE00C7" w:rsidP="00BE00C7">
            <w:pPr>
              <w:pStyle w:val="OutcomeDescription"/>
              <w:spacing w:before="120" w:after="120"/>
              <w:rPr>
                <w:rFonts w:cs="Arial"/>
                <w:b w:val="0"/>
                <w:lang w:eastAsia="en-NZ"/>
              </w:rPr>
            </w:pPr>
            <w:r w:rsidRPr="00BE00C7">
              <w:rPr>
                <w:rFonts w:cs="Arial"/>
                <w:b w:val="0"/>
                <w:lang w:eastAsia="en-NZ"/>
              </w:rPr>
              <w:t>The service also has three independent residents’ advocates, one being the chaplain and two community members. Every second residents meeting (every four months) is run by the community advocates. The residents are enabled to speak openly with no Waiapu staff present. Any concerns that arise the advocates, if requested, address directly with the CM, who responds directly to the advocates. No meeting minutes of these meetings are kept. The community advocates were unable to be contacted for interview at the time of audit, however the chaplain was available for interview. The interview verified overall satisfaction with the service by residents. The chaplain was comfortable with the role of advocate and happy to address any residents concerns with management if asked. All past concerns have been addressed promptly and to the residents’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family/whānau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Family/whānau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 management policy, procedure and associated forms meet the requirements of Right 10 of the Code. Information on the complaint process is provided to residents and families/whānau on admission and those interviewed knew how to do so. Copies of the complaint process and the form are also available near the front reception.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seven complaints have been received since the last audit in 2019 and that actions taken, through to an agreed resolution, are documented and have been completed within the required timeframes. Action plans show any required follow up and improvements have been made where possible. The care home manger, with support from the Heritage Lifecare quality manager as needed,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received via the local District Health Board in May 2020, closed August 2020, was the only complaint received from an external source since the previous audit. Two earlier Health and Disability Commission (HDC) complaints (lodged 2018 and 2019) have been closed out since the last audit. One other complaint from this source lodged in 2018 remains open. Complaints from the HDC are managed through support office with feedback sought from the care home manager, and staff implicated in the complaint, when relevant. Records viewed confirmed actions recommended by the HDC have been followed up and implemented. These are specifically mentioned in the relevant sections of this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when interviewed report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nurse practitioner (NP). All residents have a private room with an ensuite.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three residents in Waiapu at the time of audit who identified as Māori. Interviews verify staff can support residents who identify as Māori to integrate their cultural values and beliefs. The principles of the Treaty of Waitangi are incorporated into day-to-day practice, as is the importance of whānau to Māori residents. There is a current Māori health plan developed with input from cultural advisors.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of residents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There is a chapel on site and church services are held twice a week. A chaplain is available at Waiapu to provide church services.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NP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external specialist services and allied health professionals, for example, hospice/palliative care team, clinical nurse specialist, wound care specialist, services for older people, infection control nurse at the Hawkes Bay District Health Board (HBDHB), services for older people and mental health services for older persons, and education of staff. The general practitioner (GP) was unable to be contacted during the audit however a phone interview with the NP confirmed the service sought prompt and appropriate medical intervention when required and were responsive to medical requests. Interviews with the NP and the clinical manager (CM) verified the NP is used to provide medical input when the GP is too busy or unavailable. The GP practice has two NPs working for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to attend external education by outside providers and access their own professional networks, and on-line learning hubs, to support good practice. RN’s have access to comprehensive care guidance manuals, including Te Ara Whakapiri – principals and guidance to the last days of life. Recent pain management training by the hospice was provided in November 2020. Full facility wide external training opportunities for care staff to gain qualifications in care of the older adult is encouraged. There is a comprehensive in-service training programme that evidences good attendance records (refer criterion 1.2.7.5). </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ongoing improvement in the care provided, evidenced by an ongoing initiative aimed at a reduction in the number of falls and a commitment to reducing the number of urinary tract and wound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resident/family/whānau input into the care planning process. Staff understood the principles of open disclosure, which is supported by policies and procedures that meet the requirements of the Code. Attention to communication deficits identified by The Health and Disability Commissioner (HDC) are evidenced at this audit and have been addressed.</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Napier District Court or the HBDHB when required.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business plan for 2020 was sighted. Six group overarching goals cover finances, residents and staff satisfaction, the provision of quality clinical care, health and safety and promotion of Heritage Lifecare Limited. An overview of goals for 2020 covers finances, residents, quality/clinical and health and safety, staffing and property and maintenance. Business requirements and measures of success are against each. Heritage Lifecare Limited-Waiapu House’s own business plan was viewed and demonstrated how their own goals and action plans had been integrated into the organisation’s template. Both business plans are currently under review for 2021. The care home manager provides quarterly reports on these goals to the support office alongside comprehensive monthly reports. Although quarterly reports had not been updated into the template for the final two quarters of 2020, the relevant information was described within the monthly reports that are also provided to support office via an operations manager. Copies of these documents were 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Heritage Lifecare Limited document titled ‘the Heritage Way’ includes the organisation’s vision of being a significant provider of aged care services throughout New Zealand especially in the area of residential care for older people. Its overall mission is: ‘The continued pursuit of excellence in care through monitoring, auditing, actioning and evaluation of service whilst respecting and valuing our residents, families and staff’ and its five underlying values are integrity, respect and value, commitment, effectiveness, and efficiency’.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who is a registered nurse with a current practising certificate and has been in the role for just over two years. This person has worked within the aged care sector for 12 years and held a range of management positions within other large, aged care providers and Heritage Lifecare Limited. Responsibilities and accountabilities are defined in a job description and individual employment agreement.  Currency of knowledge of the sector, regulatory and reporting requirements is being upheld via providing practical assistance to various staff as required, attending in-service sessions, regional conferences, aged care association updates and District Health Board forums. Additional support and information may be accessed from other managers within the wider organisation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local District Health Board under the Aged Related Residential Care (ARRC) agreement including for respite and day services, long term support – chronic health conditions, restore and mental health. It also has one with Disability Support Services through the Ministry of Health for young person’s with disabilities. Seventy rooms of this 74-bed facility are currently available for occupancy as four are being refurbished. One other is currently vacant. On the first day of audit there were 66 occupants as three residents were in the local hospital. Thirty-eight residents are receiving rest home care (although two are currently in the public hospital), and 31 hospital care (with one in the public hospital), under the ARRC agreement. One other person who is under 65 is under the long-term support - chronic health conditions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manager carries out all the required duties under delegated authority when the care home manager is absent. If the absence is for an extended period, one of the roving managers from Heritage Lifecare Limited may be available, otherwise the operations manager, or one of the team from support office will assist or advise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absences of the clinical services manager, the unit coordinator is able to take responsibility for any clinical issues that may arise. Additional support is available from a range of sources including a gerontology nurse specialist, a local nurse practitioner, the GP, other registered nurses within the team at Waiapu House and registered nurses from other Heritage Lifecare Limited facilities. Staff informed they are very satisfied with the level of support currently available across all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Key elements of the quality program at the organisational level are the policies and procedures, the internal audit schedule and associated audit tools, care home health checks, education plans, quality alerts, clinical advisory group, benchmarking and key performance indicators, satisfaction surveys and external audits. At the care home level, the key elements are annual quality goals, internal audits, corrective action plans, quality action forms, incident reporting system, satisfaction surveys, education plans, quality meetings and complaints and compliments.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template for recording quality meeting minutes covers each of the above-mentioned aspects and minutes from the monthly quality and risk meetings at Waiapu House are being entered into these accordingly.  Key clinical indicators have been identified as pressure injuries, falls, skin tears and bruises, near misses/other resident injuries, resident behaviours cause and concern, significant weight loss (unexpected), medication errors, restraint use and anything else. Meeting minutes confirmed that these are being analysed, reported against and presented to the quality team on a monthly basis. Reports from caregivers, household, laundry, maintenance and the kitchen are presented at each meeting. </w:t>
            </w:r>
          </w:p>
          <w:p w:rsidR="00EB7645" w:rsidRPr="00BE00C7" w:rsidP="00BE00C7">
            <w:pPr>
              <w:pStyle w:val="OutcomeDescription"/>
              <w:spacing w:before="120" w:after="120"/>
              <w:rPr>
                <w:rFonts w:cs="Arial"/>
                <w:b w:val="0"/>
                <w:lang w:eastAsia="en-NZ"/>
              </w:rPr>
            </w:pPr>
            <w:r w:rsidRPr="00BE00C7">
              <w:rPr>
                <w:rFonts w:cs="Arial"/>
                <w:b w:val="0"/>
                <w:lang w:eastAsia="en-NZ"/>
              </w:rPr>
              <w:t>A meeting schedule for different staffing groups has been developed and these meetings are enabling information from quality team meetings to filter through the various departments of the facility. Meeting minutes are available for people who were unable to attend. Regular resident meetings are also being coordinated.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attending meetings, participating in internal audits, completing incident forms, and undertaking training and providing the best care possible for the residents. Relevant corrective actions are developed from internal audit processes and implemented to address any shortfalls with follow-up reports at subsequent meetings. Resident and family/ whānau satisfaction surveys are completed annually. The most recent survey showed similar levels of satisfaction to other Heritage Lifecare Limited facilities with additional comments made about meals and staffing. Several comments about call bell waiting times has seen the introduction of monthly print-offs of call bell response times and an analysis of waiting times. Survey results have yet to be presented to residents and family/whānau. Staff had opportunities to respond to survey questions following a 2019 road show led by the support office. One action point from the survey has been to ensure staff training sessions are more dynamic in nature.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These are based on best practice and although there are ongoing reviews of the organisation’s policy documents a number fall due for review in March 2021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risk management system describes the meaning of risk, includes a risk matrix/likelihood table and a consequence table. Organisational and workplace risks are measured using severity assessment codes (SAC) ratings of one through to four using the headings workforce, systems and processes, financial and environmental. The processes for the identification, monitoring, review and reporting of organisational risks and development of mitigation strategies are led by staff in the support office. All risk reporting comes through quality and risk management reporting systems. An overarching hazard register is available but is not specific for the Waiapu House environment and this requires correction. The care home manager and the village coordinator have completed relevant training and are familiar with the Health and Safety at Work Act (2015). Requirements have been implemented. Completed incident forms associated with service delivery related incidents are not necessarily identifying corrective actions or strategies to prevent a recurrence of the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showed these were fully completed, incidents were investigated, action plans for management of the consequences of the incident documented and method of follow-up such as wound care plans were identified. However, as noted in 1.2.3.9 (b), these did not necessarily include corrective actions that applied to the specific incidents, nor were there action plans to prevent recurrence or to address the associated risks. Despite this, a range of clinical indicator data from incident data is being collated, analysed at the broader service provider level and reported to monthly quality and risk meetings. Action plans for improvement purposes are being developed at this wider level, even if not at the more personal resident risk level. Examples of these were the use of toolbox talks for staff reminders regarding documentation and practices and increased monitoring of some registered nurses by the clinical services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described essential notification reporting requirements and is aware of the importance of responding to requests for information. They advised there has been one notification of a significant event made to the Ministry of Health, since the previous audit. Information related to this is still being sought from the coroner’s office as the investigation progresses.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presentation of an application and curriculum vitae, an initial interview, referee checks, police vetting and validation of qualifications and annual practising certificates (APCs), where required. A sample of staff records reviewed confirmed the organisation’s policies are being consistently implemented and records are maintained. Any gaps in the information reviewed were from the previous owner and were historical.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and like the option for additional time being buddied if preferred.  Staff records reviewed show documentation of completed orientation and a discussion with the care home manager after the third day, and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All new staff are being registered for training towards a New Zealand Qualification Authority education programme to meet the requirements of the provider’s agreement with the DHB. As a result of a finding in the last audit, a concerted effort has been made to improve the number of previously employed caregivers with these qualifications and a creative plan is being implemented to achieve this; although Covid-19 restrictions have slowed its implementation. Two staff members are internal assessors for the programme, and another is an observer. A comprehensive continuing education schedule for staff is planned on an annual basis, including for mandatory training requirements. Attendance at the many education opportunities offered and participation in the various competency assessments are collated into a master spreadsheet, which when initially sighted had multiple gaps. During the audit, this was updated from a file of attendance records and the end result confirmed contractual requirements are being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trained and competent registered nurses who are maintaining their annual competency requirements to undertake interRAI assessments. Records reviewed demonstrated completion of the required training and completion of annual performance appraisals. Records sighted confirmed that specific staff, including registered nurses, kitchen, maintenance and activities staff complete first aid certificates, although all staff are encouraged to undertake a level of first aid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for the care home manager, the clinical services manager and the unit coordinator is in place, with staff reporting that good access to advice is available when needed. Caregivers interviewed reported there were adequate staff available to complete the work allocated to them, although expressed concern of night shift staffing levels. The care home manager had already informed the auditor that a review of staffing on night shift of one registered nurse and two caregivers was already underway and close to resolution with changes due when the planned new roster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families/whānau were full of praise for all staff and reported that exceptional care is being provided. Observations and review of a four-week roster cycle confirmed adequate staff cover has been provided, with staff replaced, and shifts altered, to cover any unplanned absence. Agency nurses or carers are used if unable to cover such absences. With all registered nurses having a current first aid certificate, there is at least one staff member on duty who has a current first aid certificate. There is 24/7 registered nurse cover in the facility with three on duty most morning shifts, two on afternoons and one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Waiapu when their required level of care has been assessed and confirmed by the local Needs Assessment and Service Coordination (NASC) service. Prospective residents and/or their families/whānau are encouraged to visit the facility prior to admission and meet with the Care Home Manager (CHM) or the CM. Prospective residents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organisations transfer form and the HBDHB ‘yellow envelope’ system to facilitate transfer of residents to and from acute care services. There is open communication between all services, the resident, and the family/ whānau.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Family/whānau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or check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NP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who self-administer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CHM, CM and unit coordinator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Waiapu.</w:t>
            </w:r>
          </w:p>
          <w:p w:rsidR="00EB7645" w:rsidRPr="00BE00C7" w:rsidP="00BE00C7">
            <w:pPr>
              <w:pStyle w:val="OutcomeDescription"/>
              <w:spacing w:before="120" w:after="120"/>
              <w:rPr>
                <w:rFonts w:cs="Arial"/>
                <w:b w:val="0"/>
                <w:lang w:eastAsia="en-NZ"/>
              </w:rPr>
            </w:pPr>
            <w:r w:rsidRPr="00BE00C7">
              <w:rPr>
                <w:rFonts w:cs="Arial"/>
                <w:b w:val="0"/>
                <w:lang w:eastAsia="en-NZ"/>
              </w:rPr>
              <w:t>A request by HDC to verify residents receive prescribed medications in a timely manner when required, has been evidenced as occurring at this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has been reviewed by a qualified dietitian 15 January 2021,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up-to-date food control plan is in place and verified for eighteen months by the Hastings District Council 11 August 2020, due to expire February 2022.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cooks have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family/whānau interviews, satisfaction surveys and resident meeting minutes. Any areas of dissatisfaction were promptly responded to. There are two dining rooms at Waiapu. One for residents requiring no assistance and the other where assistance with meals is required.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The introduction of a recent smorgasbord breakfast at Waiapu has the approval of residents. Those who desire and are able, can get up and go to the dining room and help themselves to a selection of cereals, porridge, toast and hot drinks. A hot breakfast cooked as requested, is available between 0745 and 0815.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family/whānau. Examples of this occurring were discussed with the CM.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Waiapu House are initially assessed using a range nursing assessment tools such as pain scale, falls risk, skin integrity, nutritional screening, behaviour,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every six months unless the resident’s condition changes. Interviews, documentation, and observation verifies the RNs are familiar with requirements for reassessment of a resident using the interRAI assessment tool when a resident has increasing or changing need levels.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six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12 care plans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 medical and allied health professional’s notations clearly written, informative and relevant. Any change in care required was documented and verbally passed on to relevant staff. Residents and families/whānau reported participation in the development and ongoing evaluation of care plans.  Any change in care required because of an event or incident was well documented and implemented, however the analysis of the event or incident to identify possible actions to be taken to prevent recurrence was not well addressed (refer criterion 1.2.3.9).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request by HDC to verify residents care plans are resident focussed, integrated and promote continuity of service, is evidenced to be occurring at Waiapu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in the 12 files reviewed was consistent with their needs, goals, and the plan of care. The attention to meeting a diverse range of resident’s individualised needs was evident in all areas of service provision. The NP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A request by HDC to verify residents at Waiapu receive adequate and appropriate services to meet their assessed needs and desired outcomes has been substantiated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and two activities assistants, two of which are in training to be diversional therapists, with the other to commence training. The activities programme is provided seven days a week and is reviewed by a qualified diversional therapist prior to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activity programme that is meaningful to the residents. The resident’s activity needs are evaluated regularly and as part of the formal activities plan review every three months.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an exercise programme, walking programme, knitting groups, bowls, church services, movies, baking, visiting entertainers, quiz sessions, van outings and daily news updates. The activities programme is discussed at the bimonthly residents’ meetings and minutes indicated residents’ input is sought and responded to. A questionnaire to residents is also circulated requesting resident’s input into what activities they would like. Theme months occur at Waiapu, and the themes include meals and activities that relate to that theme. Resident and family satisfaction surveys demonstrated satisfaction.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 term care plans are consistently reviewed to ensure effectiveness in addressing the immediate need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When the GP from the services main service provider is unavailable, the practice has two NPs that are able to assist. If the need for other non-urgent services is indicated or requested, the GP/NP or CM sends a referral to seek specialist input. Copies of referrals were sighted in residents’ files, including to older persons’ mental health services. Referrals are followed up on a regular basis by the CM or the GP/NP.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infectious and hazardous substances are in place for staff to implement. Contractors are involved in the removal of general waste, medical waste and recyclables, which is collected at the rear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signage is displayed where chemicals and hazardous substances are stored. These were viewed in sluice rooms, the cleaning room, laundry and a key storage room. Material safety data sheets are in these storage areas. Staff receive training from an external company, which is contracted to supply and manage all chemicals and cleaning products. Spill kits are available should a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protective clothing and equipment are available to staff throughout the facility and staff were observed using these items. Staff confirmed having received training on its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of 1 March 2021 is on public display near the front entrance.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managers and observation of the items. Records of monthly checks of hot water temperatures confirm they are at safe levels. Workplace inspection checklists are being completed monthly and efforts are made to ensure the environment is hazard free and residents are safe. However, information from staff interviews and records sighted confirmed reports that the organisation’s maintenance schedule is not being adhered to and maintenance tasks in the maintenance book are not being completed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which are appropriate to the resident groups and setting, are being kept safe.  Although gardens around the facility are currently in need of general maintenance, this is expected to be resolved when a new gardener commences in early February. A residents’ garden area with raised beds and pots is well tended and thriving.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are happy with the environment and its spaciousness, appreciate the renovations progressively occurring and enjoy the designated residents’ garden area they are being assisted to maintain.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All residents’ rooms have an ensuite bathroom with a shower, hand basin and toilet. Five separate toilets throughout the facility are available for resident use and there is a bathroom with a bath in it. Appropriately secured and approved handrails are installed in all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residents’ bedrooms are on the larger size, which enables residents and staff to move around within these 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within residents’ rooms and in dedicated storage areas throughout the facility. Staff and residents confirmed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variety of communal areas are available for residents. In addition to four smaller lounges and several sitting areas with garden views, there are two large dining rooms and two spacious lounge areas. All enable easy access for residents and staff and three have communal televisions. A separate large activity room is an asset for residents. The wide variety of communal areas provide residents with options of places to go for privacy, if desired. Furniture is appropriate to the setting and residents’ needs and there is sufficient space for people in wheelchairs.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The key laundry worker was interviewed and demonstrated a sound knowledge of the laundry processes, dirty/clean flow and handling of soiled linen. A good knowledge of laundry management and use of personal protective equipment in the event of a pandemic was demonstrated. Family members interviewed reported the laundry seemed to be managed well and residents informed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Two members of a small team of cleaning staff were interviewed and informed they have received appropriate internal training, especially about infection prevention, as well as updates from the supplier of the cleaning products. During the interview, both focused on the safety precautions needed with the storage and handling of the cleaners, were aware of the function of the different products and of maintenance of their equipment. Chemicals were stored in a lockable cupboard and were in appropriately labelled containers.</w:t>
            </w:r>
          </w:p>
          <w:p w:rsidR="00EB7645" w:rsidRPr="00BE00C7" w:rsidP="00BE00C7">
            <w:pPr>
              <w:pStyle w:val="OutcomeDescription"/>
              <w:spacing w:before="120" w:after="120"/>
              <w:rPr>
                <w:rFonts w:cs="Arial"/>
                <w:b w:val="0"/>
                <w:lang w:eastAsia="en-NZ"/>
              </w:rPr>
            </w:pPr>
            <w:r w:rsidRPr="00BE00C7">
              <w:rPr>
                <w:rFonts w:cs="Arial"/>
                <w:b w:val="0"/>
                <w:lang w:eastAsia="en-NZ"/>
              </w:rPr>
              <w:t>Documentation that describes both laundry and cleaning schedules and processes was reviewed. Cleaning and laundry processes are monitored through the internal audit programme and examples of the most recent audits were sighted. The staff described the outcomes of these as learning opportunities and noted appropriate changes had been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Comprehensive disaster and civil defence planning guides direct the facility in their preparation for disasters and describe the procedures to be followed in the event of a fire or other emergency. The current fire evacuation plan was approved by the New Zealand Fire Service on 8 March 2011. A trial evacuation takes place six-monthly with a copy sent to the New Zealand Fire Service. The most recent was 21 June 2020 with the next scheduled for 10 February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a radio, spare batteries, torches, blankets, medical equipment and gas BBQs for example were sighted and meet the Ministry of Civil Defence and Emergency Management recommendations for the region. The pandemic, outbreak and civil defence supplies were in a muddle at the commencement of the audit; however, the cupboard was subsequently tidied and the scheduled six-monthly checklist redone to confirm requirements were met. A water storage tank with over 2000 litres sits in a cupboard in a garden area and food supplies for at least five days are consistently kept in the kitchen area to manage any adverse event that may occur. Records confirmed emergency lighting is regularly tested and infection outbreak kits are checked monthly. Clear illustrated instructions for turning off gas, electricity and power were viewed in the emergency supply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response time audits are now completed on a monthly basis following concerns raised about the length of time to get a bell answered during the last resident survey. The unit coordinator reviews the electronic call bell system records and follows up any patterns that emerge.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randomly twice each night. Security cameras have recently been installed in non-personal resident areas and signs informing of this were 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with limited opening for security purposes and there is a large skylight in an open area near the middle of the building. Five rooms have ranch slider doors that open onto outside garden areas. Separate dedicated smoking areas for staff and residents meet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underfloor heating in residents’ rooms and in communal areas of one part of the building. A mix of wall-mounted fan heaters, convection heaters and panel heaters are in another. Areas were well ventilated and a pleasant temperature throughout the audit despite very warm external temperatures. Air conditioning units are in one of the large lounges, in the two alcoves near the dining room in one wing and in the activity room in the other. Residents and family whānau confirmed that as far as possible the facility is maintained at a comfortable temperature throughout the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CM is the designated infection control officer (ICO), whose role and responsibilities are defined in a job description. Infection control matters, including surveillance results, are reported monthly to the organisations quality team and tabled at the quality/risk meeting. Infection control statistics are entered in the organisation’s electronic database and benchmarked within the organisation’s other facilities. The organisations national quality manager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ICO has appropriate skills, knowledge, and qualifications for the role, however, has been in this role for only a short time and is being assisted by the organisations quality manager. The ICO has undertaken relevant and recent training in infection prevention and control as verified in training records sighted. Well-established local networks and attendance at meetings with the Infection Prevention and Control Support Group (IPCSG) at the HBDHB, are available. The ICO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ICO confirmed the availability of resources to support the programme and any outbreak of an infection. The organisation continues to be prepared for an outbreak of Covid-19 and is well supported by the IPCSG and the organisations quality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masks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ICO.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increase in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Training on preparedness for Covid-19 remains ongoing. During 2020, the organisation and the HBDHB provided on-site training and videos to ensure staff were aware of how to keep themselves safe during an outbreak, including the correct use of personal protective equipment (PPE). Staff interviewed demonstrated awareness of keeping themselves and the residents safe.</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education on keeping safe during Covid-19 alert levels, reminders about the use of masks,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ICO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recent analysis of wound infection data identified a high rate of wound infections at Waiapu. A presentation at the ICPSG identified a correlation between increased wound infections and the use of wound trolleys that stored wound care products, as well as being used for dressings. An initiative was implemented by the ICO whereby the trolley only carries the product to be used to do that dressing. All other products are stored in a central area. After the wound has been attended to, the trolley is cleared, cleaned, and left empty. A review of wound infections has in the initial phases evidenced a decrease in wound infections from eleven to four over three months. It is however too early to do a comprehensive evaluation at this stage.</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Waiapu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four residents were using bedrails as restraints, one of whom was also using a pelvic brief as a restraint, and four residents were using enablers, all of which were bedrails. The enablers in use were the least restrictive options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reportedly used as a last resort when all alternatives have been explored. Individual assessment plans were evident in documentation sighted including the resident’s personal file and restraint reports as well as during interview with the restraint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confirmed that all staff involved in resident care have undertaken training and completed a competency in relation to restraint and enabler use. Those interviewed responded appropriately to questions in relation to the use of restraints and enablers.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documentation and associated forms guide the restraint approval process. Members of the restraint approval group, which is made up of the restraint coordinator, the clinical services manager, unit coordinator and a senior caregiver, are responsible for the approval of the use of restraints and the restraint processes. This process is completed in consultation with the general practitioner and/or nurse practitioner.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the registered nurses is the restraint coordinator. The restraint coordinator becomes involved in the assessment process for any restraint use. Input is sought from the resident’s family/whānau/EPOA and ultimately the resident’s GP or nurse practitioner during this process. </w:t>
            </w:r>
          </w:p>
          <w:p w:rsidR="00EB7645" w:rsidRPr="00BE00C7" w:rsidP="00BE00C7">
            <w:pPr>
              <w:pStyle w:val="OutcomeDescription"/>
              <w:spacing w:before="120" w:after="120"/>
              <w:rPr>
                <w:rFonts w:cs="Arial"/>
                <w:b w:val="0"/>
                <w:lang w:eastAsia="en-NZ"/>
              </w:rPr>
            </w:pPr>
            <w:r w:rsidRPr="00BE00C7">
              <w:rPr>
                <w:rFonts w:cs="Arial"/>
                <w:b w:val="0"/>
                <w:lang w:eastAsia="en-NZ"/>
              </w:rPr>
              <w:t>Completed assessments for the use of each restraint for each of the affected residents were documented and records sighted included the review of any potential risks. The restraint coordinator confirmed that underlying causes of the presenting concerns indicating the need for a restraint are considered, as are known historical factors that could contraindicate its use. Safety considerations are discussed and family/whānau/EPOA sign and date their involvement in the assessment. Staff reported the desired outcome is to ensure the resident’s safety and security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service provider level, the use of restraints is actively minimised and the restraint coordinator described how alternatives to restraints are discussed with staff and family/whānau members as relevant. Alternatives observed to already be in use include the use of sensor mats, low beds and increased monitoring of any resident at risk.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the advocate interviewed during the audit confirmed this. The restraint coordinator and caregivers interviewed described the importance of ensuring the residents’ dignity and privacy are maintained and respected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monthly restraint approval group meeting. The register was reviewed and included all residents currently using a restraint and sufficient information to provide an auditable record. The January 2021 register demonstrated that discussions had been undertaken with one family member and the restraint has since been removed. A person using bedrails as an enabler has agreed to using one bedrail only, to enable self-mobility in bed, rather than bedrails on both sides to feel safer. This is being monitored.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staff training on restraint use and safety, additional education on de-escalation techniques and how to manage people with challenging behaviours was recorded in staff training records.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three monthly restraint evaluations and at the restraint approval group meetings. The restraint coordinator informed that they have led a change within this service for evaluations to occur three-monthly rather than the six-monthly requirement noted within the policy. Three residents’ records sighted of the evaluation process confirmed family/whānau are involved in the evaluations and all were comfortable with the use of restraint in these instances.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records of the evaluations of restraint use for each resident, as relevant. The restraint coordinator also described how these are covered and meeting minutes included notes on the strategies in use towards eliminating the restraints in use, the impact and outcomes achieved, if the policy and procedure was followed and whether documentation has been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meets monthly prior to each quality and risk meeting and the restraint coordinator develops a report which is then presented at the quality and risk meeting and subsequently attached to those meeting minutes. Meeting minutes reviewed confirmed this process. The three-monthly individual reviews of all restraint use are included in these reports. In addition, restraint use is a component of the monthly clinical indicators report developed by the clinical services manager, which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whānau/families. A six-monthly internal audit that is carried out also informs these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99"/>
        <w:gridCol w:w="1280"/>
        <w:gridCol w:w="6585"/>
        <w:gridCol w:w="1492"/>
        <w:gridCol w:w="13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risk register and hazard register are available. Risks are managed via the quality and risk management system. However, there is not currently a facility-specific hazard register for Waiapu House.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incident report forms confirmed these are being completed. The forms include a section intended to record any corrective actions required, or any action plans that might help prevent a recurrence of the incident. Examples of clinical related incident reports sighted did not clearly identify action plans that would reduce potential risks associated with such an incident or reduce the risk of recurrence.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There is not currently a facility-specific hazard register that would enable environmental and task related risks at Waiapu House Lifecare to be monitored.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 Individual clinical incidents are not all being analysed in a manner that identifies risks associated with service provision to be addressed and treated.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A facility specific hazard register is developed, regularly reviewed and updated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(b) The section of the incident form for the recording of any corrective action, or to document suggestions to prevent recurrence, is completed as relevant to enable potential risks associated with service provision go be identified and addressed.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Workplace inspection checklists are being completed monthly and the managers informed that efforts are made to ensure the environment is hazard free. Key maintenance tasks of testing and tagging of electronic equipment, the calibration of bio-medical equipment and monthly checks of hot water temperatures for example are being completed and recorded. An annual maintenance schedule for the facility that includes six monthly checks of the functioning of call bells, two monthly wheelchair cleaning and safety checks and vehicle checks for examples was viewed. The last records for any of these tasks having been completed were dated 30 March 2020 and there was no evidence to confirm the listed tasks are being completed as required. A maintenance record book, which has space for signing and dating when repairs or specific tasks have been completed, is in use. A number of records, some of which have the potential to endanger people’s health and safety, have not yet been signed off as completed, nor warnings conveyed, despite being reported more than seven to ten days previously. Two examples include a broken taillight on the facility van and unstable tiles presenting trip hazards.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limited records available to demonstrate that tasks on the organisation’s monthly maintenance schedule are being completed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Multiple tasks, some of which have health and safety implications, have not been signed off as completed in the maintenance record book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annual maintenance schedule is upheld, and any repairs presenting health and safety risks are completed safely within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Waiapu House</w:t>
    </w:r>
    <w:bookmarkEnd w:id="58"/>
    <w:r>
      <w:rPr>
        <w:rFonts w:cs="Arial"/>
        <w:sz w:val="16"/>
        <w:szCs w:val="20"/>
      </w:rPr>
      <w:tab/>
      <w:t xml:space="preserve">Date of Audit: </w:t>
    </w:r>
    <w:bookmarkStart w:id="59" w:name="AuditStartDate1"/>
    <w:r>
      <w:rPr>
        <w:rFonts w:cs="Arial"/>
        <w:sz w:val="16"/>
        <w:szCs w:val="20"/>
      </w:rPr>
      <w:t>25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