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Peppertree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Peppertree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February 2021</w:t>
      </w:r>
      <w:bookmarkEnd w:id="7"/>
      <w:r w:rsidRPr="009418D4">
        <w:rPr>
          <w:rFonts w:cs="Arial"/>
        </w:rPr>
        <w:tab/>
        <w:t xml:space="preserve">End date: </w:t>
      </w:r>
      <w:bookmarkStart w:id="8" w:name="AuditEndDate"/>
      <w:r w:rsidR="00A4268A">
        <w:rPr>
          <w:rFonts w:cs="Arial"/>
        </w:rPr>
        <w:t>23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Peppertree is owned and operated by Radius Residential Care Limited.  The service provides cares for up to 62 residents requiring rest home and hospital (medical and geriatric) level care.  On the day of the audit, there were 59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service is managed by a temporary roving manager with the recently employed manager currently orientating to her role.  They are supported by the Radius operations manager, regional manager, a clinical nurse manager, and a team of registered nurses.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audit has identified shortfalls around care planning timeframes and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facility manager and clinical nurse manager are responsible for the day-to-day operations.  Goals are documented for the service with evidence of regular reviews.  Quality and risk management programmes are embedded.  Corrective actions are implemented and evaluated where opportunities for improvements are identified.  Falls management strategies are being implemented.  Residents receive appropriate services from suitably qualified staff.  Human resources are managed in accordance with good employment practice.  An orientation programme is in place for new staff that is specific to their role and responsibilities.  Ongoing education and training programmes are in place, which include in-service education and competency assessments.  Registered nursing cover is provided 24 hours a day, 7 days a week.  Residents and staff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included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senior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 site.  A current food control plan is in place.  The menu has been approved by a dietitian.  Individual and special dietary needs are catered for.  Alternative options are able to be provided.  Residents and relatives interviewed were satisfied with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Preventative and reactive maintenance schedules are maintained.  Chemicals are stored safely throughout the facility.  All bedrooms are single occupancy.  There is sufficient space to allow the movement of residents around the facility using mobility aids.  There are a number of small lounge and dining areas throughout the facility in addition to its main communal areas.  The internal areas are able to be ventilated and heated.  The outdoor areas are safe and easily accessible and provide seating and shade.  Cleaning and laundry staff are providing appropriate services.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documented systems in place to ensure the use of restraint is actively minimised.  The facility is restraint free.  There were six residents using enablers at the time of the audit.  Staff receive regular education and training on restraint minimisation and enabler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facility has responded promptly and appropriately to the Covid-19 pandemic, policies, procedures and the pandemic plan have been updated to include Covid-19.  Resource information is easily accessible for registered nurses if lockdown levels change after hours.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5"/>
        <w:gridCol w:w="1280"/>
        <w:gridCol w:w="9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Peppertree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eight care staff; including four healthcare assistants (HCA), three registered nurses (RN) and one diversional therapist confirmed their understanding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relatives on admission.  Written consents are signed by the resident or their enduring power of attorney (EPOA).  Advanced directives are signed for separately.  There was evidence of discussion with relatives when the general practitioner completed a clinically indicated not for resuscitation order.  The electronic resident files reviewed had an informed consent and admission agreements signed and scanned into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interviewed confirmed that verbal consent is obtained when delivering care.  Discussion with relatives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practice, which aligns with Right 10 of the Code.  The facility manager leads the investigation of non-clinical and clinical concerns/complaints in consultation with the regional manager/RN and clinical nurse manager.  All concerns and complaints are entered into an on-line complaint register.  There have been four complaints received in 2021 year to date and three complaints made in 2020.  Appropriate action has been taken within the required timeframes and to the satisfaction of the complainants.  Complaints forms are visible in the main entrance.  Management operates an ‘open door’ policy.  Family and residents interviewed confirmed they are aware of the complaints process and that management are approachable.  The complaints procedure is provided to residents in the information pack on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complaints received in July 2020 was made through the Health &amp; Disability Commissioner (HDC).  The complaint has been investigated and followed up.  A letter from HDC on 4 September 2020 stated that there would be no further action to be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Five residents (two hospital and three rest home level) and five relatives (four hospital and one rest home level) interviewed confirmed that staff respect privacy and support residents in making choices.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During the audit, staff were observed to be respectful of residents’ privacy by knocking on doors prior to entering resident rooms.  Young people with disabilities are able to maintain their personal, gender, cultural, religious and spiritual identify.  Staff could describe definitions around abuse and neglect that aligned with policy.  Residents and relatives interviewed confirmed that staff treat residents with respect.  Resident preferences are identified during the admission and care planning process and this includes family involvement.  Interviews with residents confirmed their values and beliefs were considered.  Interviews with HCAs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references local Māori health care providers regionally within New Zealand and provides recognition of Māori values and beliefs.  Family/whānau involvement is encouraged in assessment and care planning and visiting is encouraged.  Links are established with disability and other community representative groups as requested by the resident/family.  The managers stated that they are in the process of building relationships with the local marae.  During the audit, there were three residents that identified as Māori.  One care plan reviewed for a Māori resident confirmed that their cultural needs were assessed and the plan included specific interventions as per the assessment.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A review of resident records confirmed that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general staff meetings and toolbox talks include discussions around professional boundaries.  Professional boundaries are discussed with each new employee during their induction to the service.  Interviews with the care staff confirmed their understanding of professional boundaries including the boundaries of the HCAs role and responsibilities.  Professional boundaries are reconfirmed through education and training sessions and performance management if there are any specific issues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Radius facilities have a master copy of policies, which have been developed in line with current accepted best practice and these are reviewed regularly.  The content of policy and procedures are sufficiently detailed to allow effective implementation by staff.  A range of clinical indicator data is collected for collating, monitoring, and benchmarking between facilities.  Indicators include (but are not limited to) resident incidents/accidents, resident infections, staff incidents/accidents or injuries.  Feedback is provided to staff via general staff meetings.  Corrective actions are developed where results do not meet acceptable targets.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eCase electronic resident information (eg, care plans, monitoring charts) has been implemented.  Interventions (eg, weight management, falls management strategies, pain management, neurological observations, behaviour management) are all documented using eCase.  Annual resident/family satisfaction survey results reflect high levels of satisfaction with the services received.  The service has created a culture that is resident-centred.  Residents interviewed felt that they played a significant role in the life of the Peppertree ‘family’ and that their presence at the home was valued.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Accident/incident forms have a section to indicate if family have been informed of an accident/incident.  Fifteen incident forms reviewed identified that family have been notified following resident incidents.  Staff are required to record family notification when entering an incident into the system.  All adverse events reviewed met this requirement.  Family members interviewed confirmed they are notified following a change of health status of their family member.  The roving facility manager and clinical nurse manager advised that family are kept informed.  Bi-monthly resident meetings and surveys provide residents with an opportunity to feedback on the services provided.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Peppertree is certified to provide rest home, hospital level (geriatric and medical) and residential disability - physical level care for up to 62 residents.  There are 20 rest home beds, 20 dual-purpose beds (located within the ‘rest home’ wing) and 22 hospital level beds.  On the day of audit, there were 29 rest home level and 30 hospital level residents, including 10 hospital residents in the dual-purpose beds.  Of the 59 residents, there were four (one rest home and three hospital level) younger persons with physical disabilities (YPD) contracts, one hospital resident on an ACC contract, one hospital resident on a long-term support chronic health conditions (LTS-CHC) contract and one hospital resident on an hospital recovery DHB contract.  All other residents were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2020/2021 business plan describes the vision, values, and objectives of Radius Peppertree.  Strategic goals under the headings of care leadership and management; finance leadership and management; risk management, business and services, and marketing and promotion are linked to the annual business plan.  Goals are reviewed a minimum of three-monthly and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was a roving facility manager who had been in the role temporarily since November 2020.  A new facility manager who has experience in aged care management for 10 years has been employed and started in the role the week before the audit.  The facility manager is supported by a clinical nurse manager who has been in the role since October 2018 and has 30 years clinical experience within aged care.  The regional manager visits the service every two months and is readily available at other times.  The regional manager was present during the audit.  The operations manager was present to support the team during the first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roving facility manager and clinical nurse manager have maintained over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covers during the temporary absence of the facility manager.  For extended absences, Radius has interim (roving) facility managers who cover facility manager absences.  The regional manager is available on a consultative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managers (regional manager, roving facility manager and clinical nurse manager) and care staff, reflected staff involvement in quality and risk management processes.  Resident meetings are held bi-monthly, and minutes are maintained.  An annual resident/relative satisfaction survey was completed in August 2020.  Results were collated and discussed with staff and residents.  Corrective action plans were implemented for improvement areas required from the survey around the expansion of cultural/spirituality activities with programme and assisting residents to feel fully informed and have input into the decision around their health care.  The service has policies and procedures and associated implementation systems, adhering to relevant standards,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a national level by the clinical managers group with input from facility staff every two years.  Clinical guidelines are in place to assist care staff.  The quality monitoring programme is designed to monitor contractual and standards compliance and the quality-of-service delivery in the facility and across the organisation.  There are clear guidelines and templates for reporting.  The facility has implemented established processes to collect, analyse and evaluate data, which is utilised for service improvements.  Quality data including accidents/incidents, infection control, audit outcomes are reviewed and reported to the monthly quality improvement/ health and safety meeting.  Meeting minutes are available to all staff.  Results are communicated to staff in meetings and on staff noticeboards.  Corrective action plans are implemented when opportunities for improvements are identified (eg, internal audit results are lower than 95%).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evaluated and signed off when completed.  Health and safety policies are implemented and monitored by the health and safety committee who meet monthly.  Two health and safety representatives (roving facility manager and HCA) interviewed stated the health and safety committee have representatives from across the services.  Risk management, hazard control and emergency policies and procedures are in place.  There is a current hazard register in place, which was last reviewed in September 2020.  The service documents and analyses incidents/accidents, unplanned or untoward events and provides feedback to the service and staff so that improvements are made.  New staff and contractors receive an induction to the service including the fire evacuation procedure.  Falls prevention strategies are implemented including identifying residents at higher risk of falling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action(s) required.  They are signed off by the clinical nurse manager when completed.  A review of 14 incident/accident reports (nine witnessed and unwitnessed falls, two skin tears and two bruising’s), identified that the electronic forms are fully completed and included follow-up and investigation by a RN.  Neurological observations are completed for any suspected injury to the head and/or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regional manager are able to identify situations that would be reported to statutory authorities including (but not limited to) infectious diseases, serious accidents and unexpected death.  Section 31 reports have been completed for one stage 3 and one unstageable pressure injuries both in February 2021 and a VOIP phone system outage for 24 hours (all landlines were diverted to facility mobile phones) in 2020.  A suspected gastro outbreak (staff) in September 2020 was notified to public health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Eight staff files were reviewed (one clinical nurse manager, one RN, four HCAs, one diversional therapist and one maintenance/health and safety representative) that included a recruitment process, including reference checking, police check, signed employment contracts, job descriptions and completed orientation programmes.  Annual staff appraisals were evident in seven staff files reviewed with the other staff member new to the service.  A register of registered nursing staff and other health practitioner practising certificates is maintained.  Completed orientation is on files and staff described the orientation programme.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has been completed and the plan for 2021 is being implemented for Radius Peppertree.  There are study days per year to cover the compulsory education requirements.  Compulsory topics include a written core competency for each topic (eg, code of rights, cultural safety, aging process, abuse/neglect, sexuality and intimacy, restraint minimisation, informed consent, communication, accident and incident reporting, infection control, emergency procedures, fire safety, health and safety, food handling, chemical handling, challenging behaviours, continence management).  There is an attendance register for each training session and an individual staff member record of training.  Registered nurses are supported to maintain their professional competency.  Five out of nine RNs and the clinical nurse manager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encouraged to complete New Zealand Qualifications Authority through Careerforce.  Currently there are four HCAs with level 4 NZQA, 14 HCAs with level 3, six HCAs with level 2 and 11 with level 1 NZQA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Staffing rosters were sighted and there are staff on duty to match needs of different shifts.  Sufficient staff are rostered on to manage the care requirements of the residents.  The service has a total of 56 staff in various roles.  The facility manager and clinical nurse manager work 40 hours per week, Monday to Friday.  The clinical nurse manager is available on call after-hours for any clinical issues, during her absence the RN is on call.  The HCAs, residents and relatives interviewed informed there are sufficient staff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home/dual purpose beds (29 rest home residents and 10 hospital residents) there is an RN on morning and afternoon shift.  The RNs are supported by three HCAs full morning shift and one short shift, three HCAs on the full afternoon shift and one short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wing (20 hospital residents) there is on RN on duty 24 hours.  The RNs are supported by three HCAs on full morning shift and one short shift, three HCAs on the full afternoon shift and one HCA on the night shift.  The RN in the hospital on the night shift oversees the rest home/dual 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residents and relatives interviewed informed there are sufficient staff on duty at all times and there were no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(electronic) is protected from unauthorised access.  Entries are legible, dated and signed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Residents and relatives interviewed confirmed they received information prior to admission and had the opportunity to discuss the admission agreement with the facility manager or the clinical nurse manager.  The service has an information pack available for residents/families at entry.  The admission agreements reviewed met the requirements of the ARRC contract.  Exclusions from the service are included in the admission agreement.  All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using the electronic transfer form.  The facility uses the ‘white envelope’ (same as the yellow envelope system) transfer system.  Close communication is maintained with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accordance with relevant guidelines and legislation.  Registered nurses are responsible for the administration of medications and they complete an annual medication competency and attend medication education annually.  Medication fridge temperatures and medication room temperatures are recorded and within expected ranges.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reconciles the delivery and documents this on the signing sheet.  Medical practitioners write medication charts correctly and there was evidence of one to three monthly reviews by the GP.  Medication prescribed is signed as administered on the pharmacy generated singing chart.  There were two rest home residents self-medicating on the day of audit.  Competencies were in place and reviewed by the GP three monthly.  Standing orders are not used.  All 16 paper-based medication charts reviewed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and all meals and baking are prepared and cooked on site.  A food services manual is in place to guide staff.  A current food control plan is in place expiring 27 April 2021.  The cooks follow a rotating seasonal menu, which has been reviewed by the company dietitian.  All recipes are readily accessible through the organisational intranet.  The kitchen staff have completed food safety training.  The temperatures of refrigerators, freezers and cooked foods are monitored and recorded.  All food is stored appropriately and dated.  The kitchen was refurbished in October 2020, new equipment has been installed, flooring and workspaces were renewed.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served directly to residents in the rest home dining room adjacent to the kitchen.  Meals are delivered in hot boxes to the hospital dining area and resident rooms.  The kitchen is able to meet the needs of residents who need special diets, and the kitchen manager works closely with the RNs on duty.  The kitchen manager is also informed of any residents who have lost or gained weight where interventions are required.  Resident likes, dislikes, dietary preferences, modified and special diets are accommodated.  Coloured food trays were implemented in October 2020.  This easily identifies residents who require different dietary requirements including (but not limited to), gluten free, and diabetic diets.  The kitchen manager has subsequently provided a card on the residents’ tray outlining their dietary requirements/food restrictions.  There is special equipment available for residents if required.  The kitchen manager was on leave at the time of the audit, the kitchenhand interviewed was knowledgeable around the dietary requirements of the residents and food handling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relatives interviewed were complimentary about the quality and variety of food served.  A food survey is completed six monthly and results are fed back to the kitchen.  A recent initiative has been implemented where the cook asks the residents each day for feedback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indicated that all appropriate personal needs information is gathered during admission in consultation with the resident and their relative where appropriate.  InterRAI assessments had been completed for all long-term residents whose files were sampled, however not always within expected timeframes (link 1.3.3.3).  Overall, the goals were identified through the assessment process and linked to care plan interventions.  Other assessment tools in use included (but not limited to) pain, behaviour, nutrition, falls and continence.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The long-term care plans reviewed were resident centred.  Interventions documented support needs and provided detail to guide care.  Overall short-term care plans were in use for acute changes in health status, however interventions were not always documented for all acute changes in care.  Residents and relatives interviewed stated that they were involved in the care planning process.  There was evidence of service integration with documented input from a range of specialist care professionals including the wound care specialist, dietitian, physiotherapist, occupational therapist and mental health team for older people.  The healthcare assistants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relatives about any changes in their relative’s health status.  The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plans and wound evaluation electronic forms are in place for all wounds.  Wound monitoring occurs as planned.  There are currently 17 wounds (skin tears, abrasions, surgical wounds, chronic ulcers) including one unstageable pressure injury, one stage 2 and one stage 1 pressure injuries.  Incident reports were completed for the pressure injuries and a section 31 notification had been completed for the unstageable pressure injury.  There has been GP and wound care nurse specialist input for the chronic wounds.  Photos have been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wounds.  Behaviour charts are completed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employed 32 hours over five days a week to coordinate the activities programme for all residents.  She is supported by an activities assistant who works one day a week and then volunteers hours during the week to go on resident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Based on this information, an individual activities plan is developed as part of the care plan by the registered nurses with input from the activities staff.  Participation is documented on the attendance register.  The residents’ files sampled included activities plans within the care plans that are evaluated at least six-monthly when the care plans are evaluated.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are free to choose whether they wish to participate in the group activities programme or their individual plan.  Significant time is dedicated to one-on-one activities including (but not limited to): sensory sessions where the diversional therapist picks flowers and herbs from the garden for residents to enjoy, reminiscence, hand massages, and nail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reflect ordinary patterns of life and include planned visits to the community.  A gardening group has been developed where residents participate in planting flower and vegetable beds, and plan hanging baskets.  An external volunteer takes care of the bee project (continuous improvement from previous audit).  Residents and staff can purchase the honey.  Bees continue to be a topic of conversation with residents.  The facility is decorated for celebrations including (but not limited to), valentine’s day, Chinese New Year, Christmas and Easter.  Photos are taken and entered in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bi-monthly, meeting minutes evidence the residents having the opportunity to provide input to the activities plan.  A food focus group was formed to have meetings with the cook around food services following feedback from a food services survey.  Suggestions were taken on board.  There have been no further complaints around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are supported to be independent accessing community groups, and shopping trips as they choose.  The facility activities are open for younger residents to attend as they wish to do so.  During the audit, residents of all ages were witnessed being supported to access the community via motor scooters, or relatives and volunteers providing transport to various groups.  Van outings occur weekly.  Church services are included in the activity planner.  Residents and relatives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Care-plans reviewed had been evaluated by the registered nurse six monthly or when changes to care occurred.  Any updates required to care plan interventions following the care plan evaluation in case conference is updated in the care plan (link 1.3.5.2).  Leisure (activity) plans are in place for each of the residents and these are also evaluated six-monthly.  The case conference reviews involve the RN, GP, resident and relatives if they wish to attend.  There is at least a three-monthly review by the GP.  The relatives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nurses initiate referrals to nurse specialists and allied health services.  Other specialist referrals are made by the GPs.  Referrals and options for care were discussed with the relatives/NOK as evidenced in interviews and medical notes.  The staff provided examples of where a resident’s condition had changed, and the resident reassessed.  Examples of close liaison with dietitians, physiotherapist, mental health services and social workers were sighted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visors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and visible on sluice room walls.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 building has a number of lounge areas in each unit.  There is a fulltime maintenance person employed to address the reactive and planned maintenance programme (not available for interview).  All medical and electrical equipment was recently serviced and 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including a mobility scooter parking/charging bay.  The external area is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an adequate number of toilets and shower/bathing areas for residents and separate toilets for staff and visitors.  Toilets and showers have privacy systems in place.  Residents interviewed confirmed their privacy is assured when staff are undertaking personal cares.  There are vacant/in use identifiers on doors.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toilets and bathrooms in the Rimu, Tawa, Bellbird and Kauri wings have been refurbished and plans are in place to refurbish the outstanding toilet and bathroom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of an appropriate size to allow care to be provided and for the safe use and manoeuvring of mobility aids including those required by hospital level care residents in the dual-purpose and hospital level rooms.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include the main lounge and several smaller lounges and separate dining areas in each of the rest home and hospital units.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dedicated housekeeping staff.  They have access to a range of chemicals, cleaning equipment and protective clothing.  The standard of cleanliness is monitored through the internal audit programme.  The housekeeper interviewed was knowledgeable around Covid-19 precautions and practices and described the extra cleaning duties performed.  The housekeeping trolley is stored in a locked room when not in use and has a lockable chemical box on the trolley.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in the on-site laundry by dedicated laundry staff.  There was a clear dirty to clean flow.  The laundry assistant and housekeeper interviewed were knowledgeable of infection control practices and both have attended chemical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satisfied with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health management plan is in place including a specific rapid response plan to manage a potential Covid-19 outbreak in the facility.  A fire evacuation plan is in place that has been approved by the New Zealand Fire Service.  Six-monthly fire evacuation practice documentation was sighted, with the last fire evacuation drill occurring on 20 January 2021.  A contracted service provides checking of all facility equipment including fire equipment.  Fire training and security situations are part of orientation of new staff and include competency assessments.  Emergency equipment is available at the facility.  A minimum of one person trained in first aid and cardiopulmonary resuscitation (CPR) is available at all times.  All RNs hold a current first aid certificate.  The office manager (interviewed) is the lead for emergency management planning and is part of the health and safety committee.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in the event of a civil defence emergency including, food, water (bottled and header ceiling tanks) and gas cooking (gas hobs and two BBQs).  Civil defence cupboards are in three separate areas in the facility.  Items include torches, whistles, food, shovel, toilet paper, antiseptic wipes, hypothermia blankets and safety helmets. There are also supplies of outbreak/pandemic and personal protection equipment (PPE) available.  First aid kits are available in the facility van, nurses’ stations, kitchen, laundry and at reception.  There are call bells in the residents’ rooms, and lounge/dining room areas.  Residents were observed to have their call bells in close proximity.  Short-term backup power for emergency lighting is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by heat pumps/air conditioners and panel heaters in the resident rooms.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Peppertree has an established infection control programme.  The infection control programme, its content and detail, is appropriate for the size, complexity and degree of risk associated with the service.  It is linked into the incident reporting system and the Radius KPIs.  The clinical nurse manager is the designated infection control nurse with support from the registered nurses and the quality management committee (infection control team).  Minutes are available for staff.  Audits have been conducted and include hand hygiene and infection control practices.  Education is provided for all new staff on orientation.  The Radius infection control programme is reviewed annually at an organisational level.  The infection control team review the infection control plan during quality and 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managed the current Covid-19 pandemic well.  There has been ongoing information to all staff around how to manage any case of Covid-19 should there be one and process put in place as per policy.  This has included instructions around visiting at each level, management of staff and use of PPE.  There is sufficient PPE on site to manage should this be required for an outbreak including a case of Covid-19 for at least two weeks should this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designated infection control (IC) nurse.  There are adequate resources to implement the infection control programme for the size and complexity of the organisation.  The IC nurse and IC team (comprising the quality management team) has good external support from the local laboratory infection control team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precautions continue when entering the facility.  The main entrance only is available for visitors and contractors.  All visitors and contractors are required to sign in, complete the wellness declarations and record their temperature.  Red and green areas are identified in the case of Covid-19 entering the facility.  There are clear instructions and procedures for staff to follow when leaving work and returning to the facility.  There were frequent zoom meetings with head office during the lockdown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online infection control training.  Extra infection control education was provided for Covid-19 including donning and doffing personal protective equipment, outbreak management, and handwashing.  Extra internal audits were completed around housekeeping.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Definitions of infections and systems are in place that are appropriate to the size and complexity of the facility.  Surveillance data is collected and analysed monthly to identify areas for improvement, corrective action requirements and provision of staff education.  Internal audits around infection control have been completed.  Infection rates have generally been low.  Trends are identified, and quality initiatives are discussed at staff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gastroenteritis outbreak in 2019.  Logs were maintained, the public health service was notified in a timely manner.  The outbreak was well managed and documented.  There was a suspected staff outbreak in 2020, where three staff had similar gastroenteritis symptoms.  The public health service was contacted, no links were identified, and test results were negative.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At the time of the audit there were no residents with any restraints and six residents using enablers (all bed rails).  The files for three residents using enablers showed that enabler use was voluntary.  Assessment, consent form and the use or risks associated with the enabler were evidenced in the resident files reviewed.  The use of enablers were linked to the resident’s care plans and regularly reviewed.  Staff receive training on restraint minimisation and enabler use as part of the compulsory study days.  The service has been actively working on the reduction of restraints with the aim of a restraint free environment.  Two residents with restraints were reviewed at the end of 2020 and alternative strategies, including changing the standard bed to king single bed, which were discussed with the resident’s family.  Both residents are now restraint free.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4"/>
        <w:gridCol w:w="1280"/>
        <w:gridCol w:w="4639"/>
        <w:gridCol w:w="2629"/>
        <w:gridCol w:w="17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on the ARRC and the LTS-CHC contract have interRAI assessments in place.  All residents in the facility have a long-term care plan in place, however, these are not always completed or reviewed within expected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long-term care plan had been developed before the interRAI assessment for one rest home and one hospital level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initial interRAI assessment had not been completed for one rest home resident within three weeks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 interRAI assessment has been completed prior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initial interRAI assessments have been completed within expected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no interventions documented for two hospital residents with infections (one urinary tract infection and one ear infection).</w:t>
            </w:r>
          </w:p>
          <w:p w:rsidR="00EB7645" w:rsidRPr="00BE00C7" w:rsidP="00BE00C7">
            <w:pPr>
              <w:pStyle w:val="OutcomeDescription"/>
              <w:spacing w:before="120" w:after="120"/>
              <w:rPr>
                <w:rFonts w:cs="Arial"/>
                <w:b w:val="0"/>
                <w:lang w:eastAsia="en-NZ"/>
              </w:rPr>
            </w:pPr>
            <w:r w:rsidRPr="00BE00C7">
              <w:rPr>
                <w:rFonts w:cs="Arial"/>
                <w:b w:val="0"/>
                <w:lang w:eastAsia="en-NZ"/>
              </w:rPr>
              <w:t>ii) There were no interventions documented for a hospital resident with Methicillin-resistant Staphylococcus aureus (MRSA).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were no documented interventions for a hospital resident with oedema in lower legs and short-term course of anti-diuretics.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no interventions documented for two hospital residents with infections (one urinary tract infection and one ear infection).</w:t>
            </w:r>
          </w:p>
          <w:p w:rsidR="00EB7645" w:rsidRPr="00BE00C7" w:rsidP="00BE00C7">
            <w:pPr>
              <w:pStyle w:val="OutcomeDescription"/>
              <w:spacing w:before="120" w:after="120"/>
              <w:rPr>
                <w:rFonts w:cs="Arial"/>
                <w:b w:val="0"/>
                <w:lang w:eastAsia="en-NZ"/>
              </w:rPr>
            </w:pPr>
            <w:r w:rsidRPr="00BE00C7">
              <w:rPr>
                <w:rFonts w:cs="Arial"/>
                <w:b w:val="0"/>
                <w:lang w:eastAsia="en-NZ"/>
              </w:rPr>
              <w:t>ii) There were no interventions documented for a hospital resident with Methicillin-resistant Staphylococcus aureus (MRSA).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were no documented interventions for a hospital resident with oedema in lower legs and short-term course of anti-diuretics.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interventions are documented for all acute changes in residents’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Peppertree Care Centre</w:t>
    </w:r>
    <w:bookmarkEnd w:id="58"/>
    <w:r>
      <w:rPr>
        <w:rFonts w:cs="Arial"/>
        <w:sz w:val="16"/>
        <w:szCs w:val="20"/>
      </w:rPr>
      <w:tab/>
      <w:t xml:space="preserve">Date of Audit: </w:t>
    </w:r>
    <w:bookmarkStart w:id="59" w:name="AuditStartDate1"/>
    <w:r>
      <w:rPr>
        <w:rFonts w:cs="Arial"/>
        <w:sz w:val="16"/>
        <w:szCs w:val="20"/>
      </w:rPr>
      <w:t>22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