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Glaisdale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Glaisdale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March 2021</w:t>
      </w:r>
      <w:bookmarkEnd w:id="7"/>
      <w:r w:rsidRPr="009418D4">
        <w:rPr>
          <w:rFonts w:cs="Arial"/>
        </w:rPr>
        <w:tab/>
        <w:t xml:space="preserve">End date: </w:t>
      </w:r>
      <w:bookmarkStart w:id="8" w:name="AuditEndDate"/>
      <w:r w:rsidR="00A4268A">
        <w:rPr>
          <w:rFonts w:cs="Arial"/>
        </w:rPr>
        <w:t>12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Glaisdale is owned and operated by Radius Residential Care Limited.  The service provides rest home, hospital, and dementia level of care for up to 80 residents.  On the day of the audit there were 76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a general practitioner.  </w:t>
      </w:r>
    </w:p>
    <w:p w:rsidRPr="00A4268A">
      <w:pPr>
        <w:spacing w:before="240" w:line="276" w:lineRule="auto"/>
        <w:rPr>
          <w:rFonts w:eastAsia="Calibri"/>
        </w:rPr>
      </w:pPr>
      <w:r w:rsidRPr="00A4268A">
        <w:rPr>
          <w:rFonts w:eastAsia="Calibri"/>
        </w:rPr>
        <w:t xml:space="preserve">The service is managed by a facility manager (registered nurse) with previous experience in aged care clinical management.  The facility manager is supported by a Radius regional manager, Radius operations manager and a clinical manager.  Since the last audit, the service has made some environmental changes to support staff handovers and workflow, family visiting during Covid-19 pandemic and for external providers to continue to provide services during lockdown.  Staffing has been increased in response to acuity of residents.  The service has also rolled out an electronic human resource system.  </w:t>
      </w:r>
    </w:p>
    <w:p w:rsidRPr="00A4268A">
      <w:pPr>
        <w:spacing w:before="240" w:line="276" w:lineRule="auto"/>
        <w:rPr>
          <w:rFonts w:eastAsia="Calibri"/>
        </w:rPr>
      </w:pPr>
      <w:r w:rsidRPr="00A4268A">
        <w:rPr>
          <w:rFonts w:eastAsia="Calibri"/>
        </w:rPr>
        <w:t>Residents, relatives, and the general practitioner interviewed spoke positively about the service provided.</w:t>
      </w:r>
    </w:p>
    <w:p w:rsidRPr="00A4268A">
      <w:pPr>
        <w:spacing w:before="240" w:line="276" w:lineRule="auto"/>
        <w:rPr>
          <w:rFonts w:eastAsia="Calibri"/>
        </w:rPr>
      </w:pPr>
      <w:r w:rsidRPr="00A4268A">
        <w:rPr>
          <w:rFonts w:eastAsia="Calibri"/>
        </w:rPr>
        <w:t xml:space="preserve">This audit has not identified any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Radius Glaisdale practices in accordance with the Health and Disability Commissioner (HDC) Code of Health and Disability Services Consumers' Rights ‘the Code’ and copies of the code are displayed throughout the facility.  There is information available about the Nationwide Health and Disability Advocacy Service.  Staff, residents, and family verified the service is respectful of individual needs, including cultural and spiritual beliefs.  There are implemented policies to protect residents from discrimination or harassment.  There is a complaints policy supporting practice and an up-to-date register.  Staff interviews confirmed an understanding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are organisational-wide processes to monitor performance, with additional support provided to assist this new facility.  The service is managed by appropriately trained personnel and there is a suitable structure in place to oversee service delivery in the absence of the manager.  There is an adverse event reporting system implemented.  Monthly data collection and analysis is undertaken, and results are made known to staff.  </w:t>
      </w:r>
    </w:p>
    <w:p w:rsidRPr="00A4268A">
      <w:pPr>
        <w:spacing w:before="240" w:line="276" w:lineRule="auto"/>
        <w:rPr>
          <w:rFonts w:eastAsia="Calibri"/>
        </w:rPr>
      </w:pPr>
      <w:r w:rsidRPr="00A4268A">
        <w:rPr>
          <w:rFonts w:eastAsia="Calibri"/>
        </w:rPr>
        <w:t>There is a human resource manual to guide practice.  Staff files were reviewed, and all had a current appraisal and showed human resource practices are followed.  There is a documented rationale for staffing the service.  Staffing rosters were sighted and healthcare assistant staff on duty match needs of different shifts and individual resident needs.  Resident information is kept confidential and old records are archived.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primarily by the facility manager/registered nurse.  There is comprehensive service information available on the three service levels of care.  Initial assessments are completed by a registered nurse.  Care plans and evaluations are completed by the registered nurses within the required timeframe.  Care plans and worklogs (developed on the electronic resident system) are written in a way that enables all staff to clearly follow their instructions.  Residents and family interviewed confirmed they were involved in the care planning and review process.  The general practitioner reviews residents at least three 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individual leisure care plan.  The rest home and hospital have an integrated programme.  The activities in the dementia unit are flexible and meaningful.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on site by a contracted service.  The menu is varied and appropriate.  Individual and special dietary needs are catered for.  Alternative options are provided.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certificate for public use.  There is a reactive and maintenance plan.  Chemicals are stored safely throughout the facility.  All bedrooms are single occupancy with ensuites.  There are communal toilet/showering facilities available.  There is sufficient space to allow the movement of residents around the facility using mobility aids.  There are lounge and dining areas throughout the facility.  The internal areas are able to be ventilated and heated.  The outdoor areas for each area are safe and easily accessible.  Cleaning and maintenance staff are providing appropriate services.  </w:t>
      </w:r>
    </w:p>
    <w:p w:rsidRPr="00A4268A">
      <w:pPr>
        <w:spacing w:before="240" w:line="276" w:lineRule="auto"/>
        <w:rPr>
          <w:rFonts w:eastAsia="Calibri"/>
        </w:rPr>
      </w:pPr>
      <w:r w:rsidRPr="00A4268A">
        <w:rPr>
          <w:rFonts w:eastAsia="Calibri"/>
        </w:rPr>
        <w:t xml:space="preserve">There is an emergency management plan in place and adequate civil defence supplies in the event of an emergency.  There is an approved evacuation scheme and emergency supplies for at least three days.  There is at least one staff member on duty at all times with a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minimisation and safe practice policy that includes comprehensive restraint procedures.  There is a documented definition of restraint and enablers that aligns with the definition in the standards.  There were two residents with restraints during the audit.  There were no residents requiring an enabler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are infection control management systems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w:t>
      </w:r>
    </w:p>
    <w:p w:rsidRPr="00A4268A">
      <w:pPr>
        <w:spacing w:before="240" w:line="276" w:lineRule="auto"/>
        <w:rPr>
          <w:rFonts w:eastAsia="Calibri"/>
        </w:rPr>
      </w:pPr>
      <w:r w:rsidRPr="00A4268A">
        <w:rPr>
          <w:rFonts w:eastAsia="Calibri"/>
        </w:rPr>
        <w:t xml:space="preserve">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58"/>
        <w:gridCol w:w="1280"/>
        <w:gridCol w:w="95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Glaisdale has an implemented code of rights policy and procedure.  Discussions with staff included five healthcare assistants across all levels of care and all shifts; four registered nurses including two clinical team leaders; household staff including two cleaners, one pest control provider, one chef; maintenance staff; and three activity coordinators.  The audit team also interviewed the regional manager, clinical manager (CM), office manager, and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interviewed confirmed their familiarity with the Health and Disability Commissioner (HDC) Code of Health and Disability Services Consumers' Rights ‘the Code’.  Interviews with 10 residents (five hospital including one funded under an ACC contract, and five rest home) and nine relatives (five hospital, two dementia and two rest home) confirmed that the service is provided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Consent forms, advance directives, and copies of enduring power of attorney (EPOA), where applicable, were seen on each individual electronic resident database (eCase) in the nine resident files reviewed (three rest home including one using respite services, three hospital including one under an ACC contract, and three dementia level of care residents).  There is evidence of general practitioner discussion with family regarding resuscitation, as evidenced in the eCase progress notes.  EPOA are activated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registered nurses (RNs) interviewed confirmed verbal consent is obtained when delivering care.  This was observed as occurring during the audit.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nine resident files reviewed had a signed admission agreement completed on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that includes how staff can assist residents and families to access advocacy services.  Contact numbers for advocacy services are included in the policy and advocacy pamphlets are available at reception.  Residents are provided with a copy of the code and Nationwide Health and Disability Advocacy services pamphlets on entry. </w:t>
            </w:r>
          </w:p>
          <w:p w:rsidR="00EB7645" w:rsidRPr="00BE00C7" w:rsidP="00BE00C7">
            <w:pPr>
              <w:pStyle w:val="OutcomeDescription"/>
              <w:spacing w:before="120" w:after="120"/>
              <w:rPr>
                <w:rFonts w:cs="Arial"/>
                <w:b w:val="0"/>
                <w:lang w:eastAsia="en-NZ"/>
              </w:rPr>
            </w:pPr>
            <w:r w:rsidRPr="00BE00C7">
              <w:rPr>
                <w:rFonts w:cs="Arial"/>
                <w:b w:val="0"/>
                <w:lang w:eastAsia="en-NZ"/>
              </w:rPr>
              <w:t>The resident file includes information on resident’s family/whānau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relatives identified that family/enduring power of attorney (EPOA) are involved in decisions and they are happy with the level of involvement currently.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client information pack informs that visiting can occur at any reasonable time.  Interviews with residents and relatives confirmed that visiting can occur at any time.  Family members were seen visiting on the days of the audit.  Key people involved in the resident's life are documented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supports each resident to maintain relationships with their family, friends, and community groups.  This includes encouraging them to attend functions and events and helping to ensure that they are able to participate in as much as they can safely and desire to do.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two-monthly, and family can participate if they wish to.  Staff particularly encourage family members from the dementia unit to engage in the meetings.  Regular Radius newsletters are provided to residents and relatives with copies available in the library on site.  There is evidence of sound communication with family members and residents throughout the Covid-19 pandemic lockdown periods.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procedure states that clients/family/whānau shall have access to a complaints system whereby they can express concern without prejudice and those concerns are addressed.  Residents/family can lodge formal or informal complaints through verbal communication, written, resident meetings, and complaint forms or via suggestion box.  Information around the complaints process and forms are included in the information pack provided to residents and relatives at 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log/register includes date of incident, complainant, summary of complaint, and sign-off as complete.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three complaints in 2020 and two in 2021 year-to-date.  One complaint in 2020 was escalated to the district health board (DHB).  The complaint related to further information required by the family member around the call bell system, and this was closed out by the DHB with actions taken to improve the system (monitoring systems for time taken to respond to call bells, monthly call bell checks, and a documented timeframe for responding to, and escalating of unanswered call bells).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Another complaint related to all aspects of care was followed up verbally with one family member and closed out initially.  A second complaint from a separate family member around the same aspects of care was escalated to the Health and Disability Commission.  Extensive documentation and involvement of the family resulted in resolution of the complaint with sign off by the HDC, DHB and the family who were also happy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other complaint was reviewed.  Timeframes for responding to the complainant and resolution of issues raised was as per the policy and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of rights, complaints, and advocacy information.  Information is given to next of kin or EPOA to read to and/or discuss with the resident.  Interviews with residents and relatives identified they are well informed about the code of rights.  There is a specific information pack for families and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provided to residents on entry includes how to make a complaint, code of rights pamphlet, advocacy, and Health and Disability Commission information.  The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respects their rights and maintains privacy and individuality.</w:t>
            </w:r>
          </w:p>
          <w:p w:rsidR="00EB7645" w:rsidRPr="00BE00C7" w:rsidP="00BE00C7">
            <w:pPr>
              <w:pStyle w:val="OutcomeDescription"/>
              <w:spacing w:before="120" w:after="120"/>
              <w:rPr>
                <w:rFonts w:cs="Arial"/>
                <w:b w:val="0"/>
                <w:lang w:eastAsia="en-NZ"/>
              </w:rPr>
            </w:pPr>
            <w:r w:rsidRPr="00BE00C7">
              <w:rPr>
                <w:rFonts w:cs="Arial"/>
                <w:b w:val="0"/>
                <w:lang w:eastAsia="en-NZ"/>
              </w:rPr>
              <w:t>Contact details of any spiritual/religious advisors are available to staff.  Religious dietary requirements identified through assessment and care planning are met as required.  Discussions with residents and relatives confirmed the staff are respectful and that their privacy is respected, and that cultural and/or spiritual values and individual preferences are identified.  Care plans reviewed identified specific individual likes and dislikes.  There have not been any incidents related to abuse or neglect in the past year.  The general practitioner (GP) praised the service for the way services were delivered and stated that there was no evidence of abuse or neglect.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abuse and neglect policy that staff have completed training around as part of orientation and could describe appropriate practices to prevent and identify any abuse or neglect.  Ongoing training is planned and provided, as part of the Radius annual training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specific Māori health care plan and a culturally safe care policy.  The service has four residents who identify as Māori.  They have a culturally appropriate care plan.  There are four staff who identify as Māori.  Staff interviewed described speaking in te reo Māori when possible (eg, to greet someone who was Māori and noted that Māori staff interacted with Māori residents using te reo Māori).  One resident was visibly noted to calm down when staff spoke to them in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an understanding of the different cultural needs of residents and their whānau.  There is a section in the electronic assessment and care plan that includes spirituality, religion and culture, psycho-social needs and family and significant others and a specific Māori health assessment and plan.  Three of the four records for residents who identified as Māori were reviewed and all included reference to needs, values and preferences using the Whare Tapa Whā model to identify cares and support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staff have worked with three local marae and a Kaupapa Māori provider to identify local supports and programmes for residents to link into.  They have identified online training and resources for staff to access and the programme to improve services for Māori residents and whānau is currently being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includes consideration of spiritual, psychological, and social needs.  Residents indicated that they are involved in the identification of spiritual, religious and/or cultural beliefs.  Relatives interviewed stated that they felt they were consulted.  Family involvement is encouraged (eg, invitation to facility functions).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Chinese resident was interviewed with the help of a Mandarin speaking staff member who acted as an interpreter.  The Chinese resident, with very limited English said communication was very good and they were well supported.  The resident interviewed had communication cards in Mandarin and in English for common phrases and cares. These were attached to the resident’s mobility aid and were observed to be used regularly by staff.  Care staff interviewed also stated that they were learning phrases starting with common greetings.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and implemented discrimination and harassment policy in place.  Job descriptions include responsibilities of the position and ethics, advocacy, and legal issues.  The comprehensive orientation programme provided to staff on induction includes dignity and privacy.  Interviews with staff informed an understanding of professional boundaries.  A staff code of conduct is discussed during the new employee’s induction to the service and is signed by the new employee.  There is a staff policy in relation to gifts and gratuities and the management of external harassment.  Interviews with healthcare assistants confirmed their understanding of professional boundaries, including the boundaries of the HCAs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reconfirmed through education and training sessions, staff meetings, and performance management if there is infringement with the person concerned.  A staff employment handbook and orientation package includes training around professional boundaries.</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felt that they were not exposed to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at Radius Glaisdale that adhere to the Heath &amp; Disability Services Standards (2008) and all required legislation and guidelines are adhered to.  The service has implemented policies and procedures to provide assurance it is adhering to relevant standards.  Policies are reviewed and approved by the clinical management committee at an organisational level.  The quality programme is designed to monitor contractual and standards compliance and the quality of service delivery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informed when external training is available and financial support is considered.  There is support available for those wishing to pursue postgraduate qualifications (appropriate to the area of work).  There is access to computer and internet resources and search engines.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embedded the quality and risk management programme.  There are comprehensive action plans in place, service support from a senior team and additional education and support provided for staff.  The service has reviewed a number of practices and systems and as a result has improved service delivery.  Additional staff have been added in response to the increased acuity of residents at hospital level of care; the introduction of a new clinical team leader role that supports care staff on the floor; providing senior registered nurses with more responsibilities as opposed to the clinical and facility managers holding all portfolios (eg, allocation of oversight and monitoring of the infection programme to a clinical team leader).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responded to the Covid-19 pandemic well with communication to family and residents relevant to public health directives, extra staff training in use of personal protective equipment and infection control measures, and to ensure that the creation of a family/whānau room that allowed family to enter the service relevant to changes in levels directed by public health,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electronic human resource (HR) system has been being rolled out and all HR related information is kept in one source (electronic).  Access is restricted to specific staff who need to use or upload the information with filters at facility level to ensure privacy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Twenty incident reports were reviewed across the service and all recorded family notification.  Relatives interviewed confirmed that they were notified of any changes in their family member’s health status or of any incident.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Interpreter services are available if needed.  Staff and family are utilised in the first instance. There are two residents who currently require an interpreter and family fulfil this role along with translation cards and staff who can interpret.  The service is able to access the district health board interpreting services if required.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Ministry of Health ‘Long-term Residential Care in a Rest Home or Hospital – what you need to know’ is provided to residents on entry.  The information pack is available in large print and advised that this can be read to residents.  The information pack and admission agreement included payment for items not included in the services.  A site-specific booklet: ‘Introduction to dementia unit’ provides information for family, friends, and visitors to the facility.  The enquiry pack provides practical information for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provide residents with individualised care with special attention paid to preferences, choices, responses followed up to suggestions and to values.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Glaisdale is a purpose-built Radius aged care facility that opened June 2017.  The facility is certified to provide hospital services (medical and geriatric services), rest home care and dementia care for up to 80 residents.  On the day of the audit there were 76 residents.  The 60-bed rest home and hospital (all dual-purpose beds) included:  32 hospital level residents (including two residents under an ACC contract) and 24 residents at rest home level including one under respite care.  The 20-bed secure dementia unit included 20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that describes the vision, values, and objectives, which includes a person-centred approach.  This includes the Radius philosophy that identifies the provision of safe and therapeutic care for residents with dementia that enhances their quality of life and minimises risks associated with their confused states. Review of the business plan, quality plan and action plans reflect regular reviews via regular meetings and monthly reports to the regional manager.  The regional manager discusses the reports at senior management level and that is then forwarded to the monthly Board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manager meets the clinical managers and facility managers from all five of their facilities fortnightly on site, and there are zoom meetings on alternative weeks.  Radius have also introduced a monthly zoom meeting with facility managers, clinical managers, and office managers to discuss upcoming events, trends, topical issues, and any changes to the company.  </w:t>
            </w:r>
          </w:p>
          <w:p w:rsidR="00EB7645" w:rsidRPr="00BE00C7" w:rsidP="00BE00C7">
            <w:pPr>
              <w:pStyle w:val="OutcomeDescription"/>
              <w:spacing w:before="120" w:after="120"/>
              <w:rPr>
                <w:rFonts w:cs="Arial"/>
                <w:b w:val="0"/>
                <w:lang w:eastAsia="en-NZ"/>
              </w:rPr>
            </w:pPr>
            <w:r w:rsidRPr="00BE00C7">
              <w:rPr>
                <w:rFonts w:cs="Arial"/>
                <w:b w:val="0"/>
                <w:lang w:eastAsia="en-NZ"/>
              </w:rPr>
              <w:t>The regional manager has been with Radius for eight years, had over 16 years’ experience in management of aged care facilities, holds a Master’s in Nursing with a focus on clinical leadership, and is a registered nurse.  The facility manager has been in the role for a year, has over eight years’ experience as a team leader in a separate aged care facility and has also had clinical manager experience.  The clinical manager has been in the role for over a year, and they have over 11 years’ experience in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clinical and office managers are enrolled in the level 4 first line managers programme offered by the local polytechnic.  All managers have maintained at least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service is managed by the regional manager with support from the clinical manager and the clinical team leaders.  If the clinical manager (CM) is on leave, then the clinical team leaders will take on the role of CM with support from the facility manager and regional manager, all of whom are RNs.  Radius has roving clinical managers and roving managers who can provide support during absences as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2020 to 2021 that has been reviewed quarterly with results escalated to the regional manager and then to the board.  There is a quality/risk management plan that includes clinical/care related risks, human resources, health and safety, environmental/service, financial as well as site-specific risks/goals identified. Quality indicators are reported monthly with benchmarking against key indicators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appropriate for service delivery.  Policy manuals are reviewed two yearly.  New/updated policies are sent from head office.  New policies/procedures are put in the staffroom with a signing sheet for staff to sign once they have read and understood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Quality data including collection of monthly accident/incident and infection surveillance data, resident/relative surveys and internal audits are conducted, and corrective action plans are developed and implemented when service shortfalls are identified.  There are regular quality meetings that include all aspects of the quality and risk management programme (ie, health and safety, internal audits, incidents and accidents and infection control).  Registered staff and staff meetings have been held with quality data and corrective action plans also discussed at these meetings.  Resident/relative meetings are held two monthly.</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risk management, and health and safety policies and procedures in place including accident and hazard management.  The health and safety representative interviewed confirmed knowledge of the health and safety programme and their support for staff.  The health and safety representatives include the facility manager, a healthcare assistant who is enrolled in training for health and safety and three representatives who have completed at least level one training.  Staff and contractors are orientated to health and safety issues and staff.  The health and safety team identify and report hazards on hazard forms, which are then eliminated or minimised and added to the regularly reviewed hazard register.</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for individual residents such as sensor mats, low beds, landing mats, specialised chairs and intentional rounding are implemented and were described by staff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an incident occurs the healthcare assistant (or staff discovering the incident) completes the form and the RN undertakes an initial assessment and logs the incident onto the electronic system.  The RN notifies family and GP as required with this documented in all 20 incident forms reviewed.  The clinical manager collects incident reports daily and reviews both the incident and actions taken.  There is evidence of proactive follow-up to incidents reviewed for 2021.  All twenty incident forms sampled evidenced detailed investigations and corrective action plans following incidents.  Incident reports are discussed daily at management updates and at monthly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could describe the process for management and reporting of incidents and accidents.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regional manager and facility manager confirmed an awareness of the requirement to notify relevant authorities in relation to essential notifications.  Notifications have been made around two pressure injuries (both for one resident), and three for challenging behaviour with two of the three for the same incident.  The service links closely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staff files were reviewed (clinical manager, clinical team leader, two registered nurses, three healthcare assistants, one activities person).  All files reviewed had appropriate employment and human resource documentation, including interview and reference check documentation, employment contracts and job descriptions.  There is a register for staff competencies that shows all competencies are current.  Practising certificates were sighted for registered nurses, GPs, physiotherapist, pharmacy, podiatrist, and dietitian.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staff orientation policy.  All staff files documented an orientation programme that is specific to worker type.  Staff interviewed confirmed that all staff employed have an orientation period and that this is extended if required.  The service has an internal training programme directed by head office that covers all required topics.  The service has provided a wide range of additional training and toolbox talks related to issues raised by incident forms, complaints and any other service gaps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10 healthcare assistants (HCAs) who work in the dementia unit and all have completed the required dementia standards.  There are 10 other HCAs in the process of completing their dementia training and they provide cover when staff are away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Registered staff are supported to attend internal and external training to maintain current practice.  Of the 11 registered nurses, five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acuity and clinical staffing ratio policy in place that includes a documented rationale for staffing the service.  The facility manager and clinical manager are registered nurses, work full time and share on-call responsibilities.  Additional support is also provided by a regional manager (Monday to Friday) and two clinical team leaders who have recently been appointed into their role.  </w:t>
            </w:r>
          </w:p>
          <w:p w:rsidR="00EB7645" w:rsidRPr="00BE00C7" w:rsidP="00BE00C7">
            <w:pPr>
              <w:pStyle w:val="OutcomeDescription"/>
              <w:spacing w:before="120" w:after="120"/>
              <w:rPr>
                <w:rFonts w:cs="Arial"/>
                <w:b w:val="0"/>
                <w:lang w:eastAsia="en-NZ"/>
              </w:rPr>
            </w:pPr>
            <w:r w:rsidRPr="00BE00C7">
              <w:rPr>
                <w:rFonts w:cs="Arial"/>
                <w:b w:val="0"/>
                <w:lang w:eastAsia="en-NZ"/>
              </w:rPr>
              <w:t>Staffing in each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Dementia unit:  Currently 20 of a potential 20 residents.  On morning shifts, there are two healthcare assistants who work a full shift.  On afternoon shifts, there are two healthcare assistants with one working a full shift and one a short shift.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Hospital wing:  Currently 36 of a potential 40 residents (32 hospital and 4 rest home residents).  On morning shifts, there are six healthcare assistants with four who work a full shift and two who work a short shift.  On afternoon shifts, there are five healthcare assistants with three working a full shift and two a short shift.  On night shift, there are two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Rest home:  Currently 20 residents.  On morning shifts, there are two HCAs who work full shifts.  On afternoon shifts, one healthcare assistant works a full shift and one a short shift.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on the morning with one in the hospital and one between the rest home and dementia unit.  There is also a clinical team leader (registered nurse) who works four days a week with an ability to increase their support to five days a week if required.  There are two registered nurses on afternoon shift and one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response to a greater acuity and number of hospital residents, the facility and clinical managers have added additional staff.  There was a floater between the hospital and rest home in the past.  This position is now permanent with the HCA placed in the hospital wing in the afternoon.  There is also a short shift added in the afternoon in the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that there is adequate staffing to manage their workload.  When staff are absent, and a replacement cannot be found from the current staff, agency staff are used.  The facility manager stated that staff can increase with acuity and/or resident numbers.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physiotherapist employed 12 hours a week.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there are sufficient staff on site at all times and staff are approachable, competent, and friendly.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electronic record and service register. </w:t>
            </w:r>
          </w:p>
          <w:p w:rsidR="00EB7645" w:rsidRPr="00BE00C7" w:rsidP="00BE00C7">
            <w:pPr>
              <w:pStyle w:val="OutcomeDescription"/>
              <w:spacing w:before="120" w:after="120"/>
              <w:rPr>
                <w:rFonts w:cs="Arial"/>
                <w:b w:val="0"/>
                <w:lang w:eastAsia="en-NZ"/>
              </w:rPr>
            </w:pPr>
            <w:r w:rsidRPr="00BE00C7">
              <w:rPr>
                <w:rFonts w:cs="Arial"/>
                <w:b w:val="0"/>
                <w:lang w:eastAsia="en-NZ"/>
              </w:rPr>
              <w:t>Personal resident information is kept confidential and cannot be viewed by other residents or members of the public.  Resident files are protected from unauthorised access.  Informed consent is obtained from residents/family/whānau on admission, for permission to display the resident’s name and taking of photographs.</w:t>
            </w:r>
          </w:p>
          <w:p w:rsidR="00EB7645" w:rsidRPr="00BE00C7" w:rsidP="00BE00C7">
            <w:pPr>
              <w:pStyle w:val="OutcomeDescription"/>
              <w:spacing w:before="120" w:after="120"/>
              <w:rPr>
                <w:rFonts w:cs="Arial"/>
                <w:b w:val="0"/>
                <w:lang w:eastAsia="en-NZ"/>
              </w:rPr>
            </w:pPr>
            <w:r w:rsidRPr="00BE00C7">
              <w:rPr>
                <w:rFonts w:cs="Arial"/>
                <w:b w:val="0"/>
                <w:lang w:eastAsia="en-NZ"/>
              </w:rPr>
              <w:t>Entries in resident files sampled were legible, dated and have an electronic signature by the relevant caregiver or RN including designation.  All resident records contain the name of resident and the person completing the form/entry.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resident files demonstrated service integration that also contains GP notes and the allied health professionals and specialist’s records if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 welcome pack outlining services able to be provided, the admission process and entry to the service.  The welcome pack includes specific information on the secure dementia care unit “welcome to our secure wing”.  There is also information for families from Dementia New Zealand.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manager/registered nurse or clinical manager screens all potential residents prior to entry to ensure the service can meet the assessed need and support required.   Residents and relatives interviewed confirmed they received information prior to admission and had the opportunity to discuss the admission agreement with the facility manager.  The admission agreement aligns with the requirements of the ARCC.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  Residents in hospital or on social leave are identified and monitored through the eCase resident database.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and level 4 HCAs administer medications and have completed medication competencies and medication education.  Registered nurses complete syringe driver training.  Medications are delivered in robotic rolls for regular and ‘as required’ medications.  These are checked against the paper-based medication charts and signed off on the pharmacy record.  All medications are stored safely throughout the facility.  There is daily monitoring of the medication fridge and daily monitoring of the medication room air temperature.  Both temperatures were within the acceptable ranges.  All eyedrops were dated on opening.  There is a hospital stock available which is checked regularly for expiry dates.  There was one respite care resident self-medicating on the day of audit.  There was a self-assessment competency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(paper-based) reviewed (six hospital, six rest home and six dementia care) met prescribing requirements for regular and ‘as required’ medications.  Photo identification and allergy status had been identified on all charts.  Digoxin monitoring charts had been completed as required.  There were no standing orders used but telephone orders are taken and witnessed by a RN and another medication competent person.  Telephone orders sighted had been signed by the GP within the required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located within the service area of the building.  All food and baking is prepared and cooked on site by a contracted service.  The co-owner/director (interviewed) visits the site fortnightly.  The chef/kitchen manager has been employed since February and holds a diploma in hotel management and a level four cookery qualification.  The chef/kitchen manager is supported by a second chef and kitchen assistants who have all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co-owner/director develops the menu plan which is then reviewed by Dietitians NZ.  Recipes and ordering is done online.  There is a four-weekly winter and summer menu that includes a vegetarian option.  Pureed foods, diabetic desserts, food allergies, likes and dislikes are accommodated.  There is special equipment available for residents if required.  Meals are plated and delivered in hot/cold boxes (as applicable to the unit kitchenettes).  End-cooked temperatures and hot/cold box temperatures are monitored.  A resident nutritional profile is developed for each resident on admission and provided to the kitchen staff.  The chef is notified of any changes to resident’s dietary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chiller are monitored and recorded twice daily.  The chemical provider checks and monitors the performance of the dishwasher.  All food is stored appropriately and dated.  A cleaning schedule is maintained.  The current food control plan was issued 23 August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the potential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where appropriate.  Information received from hospital discharge, homecare interRAI assessments and GP medical notes is used to develop the initial interim care plan within 24 hours.  Appropriate assessment tools have been completed on eCase and reviewed at least six monthly or when there was a change to a resident’s health condition, in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Behavioural assessments have been completed in the records for the three residents reviewed using dementia level of care.  Electronic care plans are developed on the outcomes of these assessments.  A resident’s life story and activity assessment is also completed for all new residents with these sighted in files reviewed.  InterRAI assessments had been completed for new residents within 21 days and are utilised as part of the six-monthly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on the eCase described the support required to meet the residents’ goals as identified by the ongoing assessment process.  The long-term care plans reflected the outcomes of risk assessment and interRAI assessments.  There were care plans developed for specific medical conditions such as diabetes and risk plans.  Behaviour management plans had been completed for residents with dementia.  Residents and their family/whānau confirmed they are involved in the care planning and review process.  The electronic progress notes evidenced resident/relative involvement in care planning and reviews.  The respite care resident had a treatment plan in place developed by the rest and recuperation team (social worker, occupational therapist) at the DHB.  The team follow up the resident on days five and nine.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Allied health involvement was linked to the long-term care plans.  Staff interviewed reported they found the plans easy to follow and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detailed and regularly updated care plans and report progress against the care requirements each shift.  If a resident’s health status changes the RN initiates a GP or nurse specialist review.  Relatives interviewed stated they are contacted for any changes in the resident’s health including accidents/incidents, infections, GP visits, appointments, medication changes and transfers to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 and care plans, wound review plans and evaluation notes were in place for 16 hospital, one rest home and two dementia care residents with wounds (skin tears, two surgical wounds, scrapes, and abrasions).  There were three stage one pressure injuries (two facility acquired and one on admission), two stage two pressure injuries both facility acquired, and one resident with two unstageable facility acquired pressure injuries.  All residents with pressure injuries are hospital level.  A section 31 was sighted for the unstageable pressure injuries.  There were sufficient pressure relieving devices available including air alternating mattresses, foam booties and cushions.  Monitoring charts evidenced two hourly repositioning as instructed on the work logs.  Care plans described pressure injury interventions for residents at risk and with pressure injuries.  Staff had received education on wound care and pressure injury prevention.  One RN is the wound nurse for the service and there is specialist nursing wound care management advice through the DHB wound nurse.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continence products available and resident files reviewed included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and reviewed by the RN for progress against short term needs and supports.  Monitoring charts include bowel charts, blood pressure, weight charts. blood sugar levels, food and fluid charts, fluid balance charts, turning charts, behaviour charts, pain monitoring, neurological observations, and restraint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three activity coordinators who rotate across the rest home, hospital, and dementia unit from Monday to Friday each week.  They have completed the unit dementia standards and have current first aid certificates.  There are three activity coordinators on Monday and Tuesday and two on the rest of the weekdays.  There are monthly planners for the rest home/hospital integrated activity programme and the dementia care unit.  The programmes commence from 9 am to 3.30 pm.  Integrated activities take place in the large hospital lounge and residents from the dementia care unit are invited to attend (as appropriate and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home/hospital programme includes (but not limited to); exercises – circuit and stand tall balance class, quiz and word games, crafts, armchair travel, table games and puzzles, bingo, movies and sing-a-longs and carpet bowls.  Room visits, and one-on-one time is spent with residents who choose not to join in with group activities.  There are two walking groups to meet the differing physical needs of the residents from all the levels of care.  The walking groups were observed going out to enjoy the fresh air and gardens on the day of audit.  The dementia unit residents were well supervised.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activity programme is designed to meet small group (eg, baking, crafts) and individual activities (eg, hand pampering).  The programme is flexible and includes sensory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van for outings has two wheelchair spaces.  There are fortnightly scenic drives, outings and café visits for rest home/hospital residents and there are weekly outings for dementia care residents to places of interest/scenic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family volunteers, church services, visiting kindergarten children and school children and pet therapy.  Festive occasions and special events including birthdays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have an individual recreational assessment and leisure plan that is evaluated at least six monthly.  Residents and families interviewed commented positively on the activity programme.  Residents have the opportunity to feedback on the activity programme through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registered nurses within three weeks of admission and at least six monthly thereafter.  Care plans are updated with other changes as they occur.  A multidisciplinary conference is held (MDT) involving input from resident (as appropriate), relative, care staff, physiotherapist, GP, and other allied health professionals involved in the care of the resident.  There is a record of the MDT meeting which records if the resident goals have been met or not.  There is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electronic resident files.  The nurses initiate referrals to nurse specialists and allied health services.  Other specialist referrals are made by the GPs and responded to in a timely manner.  Referrals and options for care were discussed with the family as evidenced in interviews and eCase medical notes.  There is close liaison and good communication with dietitians, physiotherapists, podiatrist, mental health service for the older person, assessment and rehabilitation team, ophthalmology, diabetes service and the DHB rest and recuperation team which was sighted in electronic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single storey building has a building status of compliance certificate declaring all emergency systems are safe and compliant.  A building warrant of fitness not issued as monthly checks were not completed during the level4 lockdown period in 2020.  The maintenance person (based at another Radius site) is on site two mornings a week at Glaisdale.  Repairs and maintenance requests are generated through the eCase maintenance log, which is then actioned and logged.  Monthly planned maintenance is completed as per the planned maintenance schedule including building warrant of fitness checks and hot water temperatures.  All clinical equipment and electrical equipment is tagged, tested and calibrated annually.  The maintenance person is available to visit the site at any time for facility matters and is on-call.  Essential contractors are available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rails for residents to mobilise safely using mobility aids.  The external areas and courtyards are well landscaped.  Residents have access to safely designed external areas that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 spacious secure outdoor courtyard with a safe walking pathway that has several entry/exit doors.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full ensuites.  There are adequate numbers of toilets located near communal areas.  There is a large shower room in the hospital that can accommodate a shower trolley if required.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There are 60 dual-purpose rooms that are of an appropriate size to allow rest home or hospital level of care.  There is sufficient space for the safe use and manoeuvring of mobility aids and hoists.  Resident rooms in the 20-bed dementia care unit are spacious.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open plan dining and lounge areas in each unit (rest home, hospital, and dementia unit).  Each unit has a smaller quiet lounge for visitors or activities.  There are seating alcoves throughout the facility.  The communal areas are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linen and personal clothing is outsourced.  The laundry area is spacious, with one commercial washing machine and dryer, as the cleaning/laundry person launders delicate items and woollens.  The laundry has entry and exit doors located near the delivery entrance.  There is a defined clean/dirty area in the laundry.  There are two dedicated cleaning/laundry persons on duty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have access to a range of chemicals through a mixing system, cleaning equipment and protective clothing.  Safety datasheets and product information is available. Cleaning trolleys are kept in locked areas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satisfied with the standard of cleanliness in the facility and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All registered nurses are first aid trained.  The facility has a fire evacuation plan that has been approved by the fire service (letter from Fire Service dated 20 March 2017 sighted).  A fire drill was provided as part of induction and December 2017 (six monthly).  </w:t>
            </w:r>
          </w:p>
          <w:p w:rsidR="00EB7645" w:rsidRPr="00BE00C7" w:rsidP="00BE00C7">
            <w:pPr>
              <w:pStyle w:val="OutcomeDescription"/>
              <w:spacing w:before="120" w:after="120"/>
              <w:rPr>
                <w:rFonts w:cs="Arial"/>
                <w:b w:val="0"/>
                <w:lang w:eastAsia="en-NZ"/>
              </w:rPr>
            </w:pPr>
            <w:r w:rsidRPr="00BE00C7">
              <w:rPr>
                <w:rFonts w:cs="Arial"/>
                <w:b w:val="0"/>
                <w:lang w:eastAsia="en-NZ"/>
              </w:rPr>
              <w:t>Smoke alarms, sprinkler system and exit signs are in place.  A gas barbeque and torches are available in the event of a power failure.  Emergency lighting is in place.  A civil defence kit is in place and stored in an accessible area.  Four thousand litres of stored water is available in tanks.  Electronic call bells were evident in resident’s rooms, lounge areas and toilets/bathrooms.  There are security policies around locking of the facility from dusk to dawn.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Heat pumps are used in communal areas.  Resident rooms have individual heat pump/air conditioning units.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Glaisdale has implemented the Radius infection control programme.  The infection control programme, its content and detail, is appropriate for the size, complexity and degree of risk associated with the service.  It is linked into the incident reporting system and the Radius KPIs.  One of the two clinical team leaders (RN) is the designated infection control nurse with support from the facility and clinical managers and DHB infection control service.  Audits have been conducted and include hand hygiene and infection control practices.  Education is provided for all new staff on orientation.  The Radius infection control programme is reviewed annually at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Radius has supported the local Covid-19 pandemic response.  There are pandemic folders with plans on site, including rapid response plans.  Examples of implementation of plans includes additional training for staff around personal protective equipment (PPE) and infection control practices, daily monitoring of residents’ temperature while at Covid-19 level 3 and 4, room isolation with staff wearing full PPE when residents have had respiratory symptoms, admission protocols in place for any admissions, and regular (daily and later weekly) zoom meetings with senior staff at support office to distribute information and to gain information continued post level 4 and 3 lockdowns.  There is at least two weeks’ worth of PPE stocks including masks, gowns, goggles, hand sanitisers, gloves, and hazard bags, with this monitored by the CM.  Radius also has an extra supply of stock at head office that can be mobilised on short notice.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team leader (registered nurse) is the infection control (IC) coordinator and is aware of the need to analyse data and the reasons behind this.  The IC nurse receives ongoing education including DHB training in October 2020.  The IC coordinator is supported by the facility and clinical managers, the GP, the DHB resource person or IC coordinators at other facilities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defining roles, responsibilities and oversight, training, and education of staff.  The infection control policies link to other documentation and uses references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policies are reviewed as part of the policy review process by Radius.  Input is sought from facilities when reviewing policies.  The managers receive notification of any new or reviewed policy or procedure and there is evidence of rollout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nurse ensures training is provided to staff through orientation and additional training.  Informal education is also provided (eg, through the toolbox training sessions). The healthcare assistants interviewed stated that they received ‘excellent’ training that supported them to care for residents.  The training is also linked into quality initiatives (eg, a current ongoing corrective action plan looking at reducing the number of urinary tract infections) and includes additional training focused on the early detection and management of UTIs and hand hygiene as a key part of cares.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package includes specific training around hand washing and standard precautions.  Hand hygiene is an annual competency (viewed on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Staff were observed reminding residents to wash hands and to use sanitiser. </w:t>
            </w:r>
          </w:p>
          <w:p w:rsidR="00EB7645" w:rsidRPr="00BE00C7" w:rsidP="00BE00C7">
            <w:pPr>
              <w:pStyle w:val="OutcomeDescription"/>
              <w:spacing w:before="120" w:after="120"/>
              <w:rPr>
                <w:rFonts w:cs="Arial"/>
                <w:b w:val="0"/>
                <w:lang w:eastAsia="en-NZ"/>
              </w:rPr>
            </w:pPr>
            <w:r w:rsidRPr="00BE00C7">
              <w:rPr>
                <w:rFonts w:cs="Arial"/>
                <w:b w:val="0"/>
                <w:lang w:eastAsia="en-NZ"/>
              </w:rPr>
              <w:t>PPE education for staff about donning and doffing in preparation for lockdown during pandemic for Covid-19 has occurred initially in March/ April 2020.  This is now ongoing during staff meetings and handover especially in relation to Covid-19 and the prevention of an outbreak.  Education for visitors has been provided around the use of PPE and any visitor is required to sign in and have their temperature recorded on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monthly, including urinary tract, upper respiratory and skin.  This data is analysed for trends and the raw clinical indicator data is reported to the quality, RN,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around restraint is that it is used as an intervention that requires a rationale and is regarded as a last intervention when all other interventions or calming/defusing strategies have not worked.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the organisational level and a restraint group at the facility, where restraint is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with enablers during the audit and two residents using restraint (bed rail) at the time of the audit.  Training around restraint minimisation, enablers and challenging behaviour has been provided as part of the orientation for all new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with a defined job description.  Restraint discussion and quality data around restraint and enabler use is included in the quality/risk meetings and clinical meetings.  Care staff receive education on safe restraint use at orientation and annually.  There is ongoing education including challenging behaviours.  Staff complete restraint competencies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The clinical manager in partnership with the GP, the resident and their family undertakes assessments.  Restraint assessments are based on information in the care plan, family discussions and observations.  Ongoing consultation with the family are evident.  A restraint assessment form had been completed for two resident files reviewed requiring restraint (sighted).  Assessments identify risks related to the use of restraint and the specific interventions or strategies to try (as appropriate) before implementing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Monitoring and observation is included in the restraint policy.  The restraint coordinator is responsible for ensuring all restraint documentation is completed.  Each episode of restraint is monitored at pre-determined intervals depending on individual risk to that resident.  Restraint use, risks, and cares to be carried out during the restraint episode are included in the two care plans reviewed.  Individual restraint monitoring booklets evidence checks, and cares have been carried out according to the documented frequency described in the resident care plan and monitoring tool.  There is an up-to-date restraint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evaluations occur three monthly by the clinical manager with family and GP input and then six-monthly as part of the ongoing review as part of their care plan review.  Families (where possible) and the GP and RNs are included as part of this review.  Their engagement in the review process is documented.  This was also confirmed with the GP interviewed and one relative whose family member used a bed rail.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usage is monitored monthly.  The review of restraint use is discussed at the quality meetings and relevant facility meetings.  The facility is proactive in minimising restraint.  Internal restraint audits are completed three and six-monthly and demonstrate compliance of the standard.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Glaisdale</w:t>
    </w:r>
    <w:bookmarkEnd w:id="58"/>
    <w:r>
      <w:rPr>
        <w:rFonts w:cs="Arial"/>
        <w:sz w:val="16"/>
        <w:szCs w:val="20"/>
      </w:rPr>
      <w:tab/>
      <w:t xml:space="preserve">Date of Audit: </w:t>
    </w:r>
    <w:bookmarkStart w:id="59" w:name="AuditStartDate1"/>
    <w:r>
      <w:rPr>
        <w:rFonts w:cs="Arial"/>
        <w:sz w:val="16"/>
        <w:szCs w:val="20"/>
      </w:rPr>
      <w:t>11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