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Y&amp;P NZ Limited - Deverton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Y&amp;P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Deverton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2021</w:t>
      </w:r>
      <w:bookmarkEnd w:id="7"/>
      <w:r w:rsidRPr="009418D4">
        <w:rPr>
          <w:rFonts w:cs="Arial"/>
        </w:rPr>
        <w:tab/>
        <w:t xml:space="preserve">End date: </w:t>
      </w:r>
      <w:bookmarkStart w:id="8" w:name="AuditEndDate"/>
      <w:r w:rsidR="00A4268A">
        <w:rPr>
          <w:rFonts w:cs="Arial"/>
        </w:rPr>
        <w:t>23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Deverton House Rest Home (Deverton House) provides rest home level care for up to 23 residents. The service is operated by a private owner/director and it is one of four facilities owned by the same operator. Deverton House is managed by a facility manager who is supported by two registered nurses who oversee the clinical service. Residents and families spoke highly about the care and management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the facility manager, owner/director, staff and a general practitioner.</w:t>
      </w:r>
    </w:p>
    <w:p w:rsidRPr="00A4268A">
      <w:pPr>
        <w:spacing w:before="240" w:line="276" w:lineRule="auto"/>
        <w:rPr>
          <w:rFonts w:eastAsia="Calibri"/>
        </w:rPr>
      </w:pPr>
      <w:r w:rsidRPr="00A4268A">
        <w:rPr>
          <w:rFonts w:eastAsia="Calibri"/>
        </w:rPr>
        <w:t>There were no new areas requiring improvement. The one area identified from the previous audit in relation to medicines management has been fully addressed.</w:t>
      </w:r>
    </w:p>
    <w:p w:rsidRPr="00A4268A">
      <w:pPr>
        <w:spacing w:before="240" w:line="276" w:lineRule="auto"/>
        <w:rPr>
          <w:rFonts w:eastAsia="Calibri"/>
        </w:rPr>
      </w:pPr>
      <w:r w:rsidRPr="00A4268A">
        <w:rPr>
          <w:rFonts w:eastAsia="Calibri"/>
        </w:rPr>
        <w:t>The two rooms reconfigured since the previous audit and already approved for use are occupied and are appropriate for occupancy. Both rooms were occupied at the time of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in a timely manner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are documented and clearly describe the scope, direction, objectives and the mission statement of the organisation. </w:t>
      </w:r>
    </w:p>
    <w:p w:rsidRPr="00A4268A">
      <w:pPr>
        <w:spacing w:before="240" w:line="276" w:lineRule="auto"/>
        <w:rPr>
          <w:rFonts w:eastAsia="Calibri"/>
        </w:rPr>
      </w:pPr>
      <w:r w:rsidRPr="00A4268A">
        <w:rPr>
          <w:rFonts w:eastAsia="Calibri"/>
        </w:rPr>
        <w:t>Monitoring of the services occurs and outcomes are reported to the owner director on a daily and/or monthly basis. Any trends identified are used for quality improvement. Adverse events are documented with corrective actions implemented. Actual and potential risks, including health and safety risks are identified and mitigated. Newly implemented policies and procedures support service delivery.</w:t>
      </w:r>
    </w:p>
    <w:p w:rsidRPr="00A4268A">
      <w:pPr>
        <w:spacing w:before="240" w:line="276" w:lineRule="auto"/>
        <w:rPr>
          <w:rFonts w:eastAsia="Calibri"/>
        </w:rPr>
      </w:pPr>
      <w:r w:rsidRPr="00A4268A">
        <w:rPr>
          <w:rFonts w:eastAsia="Calibri"/>
        </w:rPr>
        <w:t>The appointment, orientation/induction and management of staff both clinical and non-clinical is based on current good practice. Training is provided and is ongoing. Staff appraisals were up-to-date.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 publicly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a non-restraint policy as described in their policies and procedures. No enablers and no restraint were in use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2"/>
        <w:gridCol w:w="1280"/>
        <w:gridCol w:w="102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of Health and Disability Services Consumers’ Rights (the Code). Information on the complaint process is provided to all residents and families on admission and those interviewed knew how to do so and where to locate the complaints form at reception. This is documented in both English and Chinese version on the one form.</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minor complaints have been received in the last twelve months and all have been addressed and signed off by the facility manager and dated. The facility manager is responsible for the complaint management and follow-up.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health status, were advised in a timely manner about any incidents or accidents and outcomes of medical reviews. This was supported in residents’ records reviewed. Staff interviewed understood the principles of open disclosure which is supported by policies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All staff on duty spoke English on the day of the audit.  Staff know how to access formal interpreter services through the district health board although reported this rarely occurred. Staff are able to provide interpretation as and when needed and family members are used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Deverton House Rest Home Business Plan which is reviewed annually was available. The business plan outlines the purpose, values, scope, direction and objectives of the organisation. The document describes the annual goals, strengths and challenges and associated operational plans.  The mission statement and philosophy are implemented for residents and for staff and is a guide to achieving the philosophy. There is a staff philosophy documented as well. Objectives, goals, care, professionalism and education goals are outlined for staff to achieve. There is an organisational commitment to staff training and the programme was reviewed for 2021. A sample of monthly reports from the registered nurses was sighted. The facility manager who has worked in this role for four years reports directly to the owner/director on a regular basis. Any emerging risks and/or issues are reported on a daily basis.</w:t>
            </w:r>
          </w:p>
          <w:p w:rsidR="00EB7645" w:rsidRPr="00BE00C7" w:rsidP="00BE00C7">
            <w:pPr>
              <w:pStyle w:val="OutcomeDescription"/>
              <w:spacing w:before="120" w:after="120"/>
              <w:rPr>
                <w:rFonts w:cs="Arial"/>
                <w:b w:val="0"/>
                <w:lang w:eastAsia="en-NZ"/>
              </w:rPr>
            </w:pPr>
            <w:r w:rsidRPr="00BE00C7">
              <w:rPr>
                <w:rFonts w:cs="Arial"/>
                <w:b w:val="0"/>
                <w:lang w:eastAsia="en-NZ"/>
              </w:rPr>
              <w:t>The care service is managed by two registered nurses who cover twenty hours a week at this facility. There is a casual registered nurse who can cover in either of their absence, to ensure these hours are provided weekly. Responsibilities and accountabilities are defined in job descriptions and individual employment agreements. Members of the management team confirm their knowledge of the sector. The owner/director was contacted and was present during most of the audit process.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contract with Waitemata District Health Board (WDHB) for rest home level care including respite care. Twenty one of the twenty three beds were occupied and the 21 residents were receiving rest home level care services under the Age Related Residential Care contract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improvement. The quality plan was reviewed for 2021 to 2022. This includes management of incidents and complaints, audit activities, a regular resident satisfaction survey, monitoring of outcomes and clinical incidents including infections. The business continuity and risk management plan was developed to guide staff and management in managing emergencies and this has been reviewed for 2021 – 2022.</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staff and resident meetings as appropriate. The facility manager reports to the owner/director monthly. The owner director has four aged care facilities so moves between the four on a regular basis and is always available to the facility manager as needed and for families and residents. Staff interviewed are involved in audit activities, review of quality and clinical data. Corrective action follow-up is implemented to address any shortfalls with the outcomes evaluated prior to sign off.</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 last completed 4 August 2020. Sixteen of twenty three survey forms were completed; three residents refused to complete the form and four found it hard to comprehend the questions. The survey results reviewed showed that residents and families are very satisfied with services provided. Any comments made have been followed up by management.</w:t>
            </w:r>
          </w:p>
          <w:p w:rsidR="00EB7645" w:rsidRPr="00BE00C7" w:rsidP="00BE00C7">
            <w:pPr>
              <w:pStyle w:val="OutcomeDescription"/>
              <w:spacing w:before="120" w:after="120"/>
              <w:rPr>
                <w:rFonts w:cs="Arial"/>
                <w:b w:val="0"/>
                <w:lang w:eastAsia="en-NZ"/>
              </w:rPr>
            </w:pPr>
            <w:r w:rsidRPr="00BE00C7">
              <w:rPr>
                <w:rFonts w:cs="Arial"/>
                <w:b w:val="0"/>
                <w:lang w:eastAsia="en-NZ"/>
              </w:rPr>
              <w:t>One year ago, the policies and procedures were changed over to another hard copy system and are fully managed and implemented by a quality consultant. Staff have received training on the new policies and procedures for the organisation. They are based on best practice and were current. The documentation control and review system is set up and functioning effectively. Removal of all obsolete documents has occurred. The policies cover all necessary aspects of the service and contractual requirements including reference to the interRAI long term care facility (LTCF) assessment tool and process.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understands the processes for the identification, monitoring, review and reporting of risks and development of mitigation strategies. The facility manager and owner director interviewed was fully informed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Individual incident logs are maintained in each resident’s individual record reviewed. A sample of incidents forms showed these were fully completed, incidents investigated, action plans developed and actions followed-up in a timely manner. Adverse event data is collated, analysed and reported to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any pressure injuries. They advised there has been one notification made to HealthCERT for a pressure injury. The resident transferred from the DHB to a private hospital. There have been no police investigations, coroner’s inquests, issues-based audits and any other notifications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meet relevant legislation. The employment process includes referee checks, police vetting and validation of health professionals annual practising certificates (APCs) where required. A sample of staff records reviewed confirmed the organisation’s policies and processes are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provided with orientation which includes all necessary components relevant to the role they are employed for. Staff interviewed stated that they were well prepared for their role. The staff records reviewed showed documentation of completed orientation/induction and a performance review after three months and annually thereafter. Appraisals for staff, clinical and/or non-clinical, were up to date except for one staff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planned on an annual basis including all mandatory training requirements. The training programme is available to all staff. The eight care staff have either completed or commenced a New Zealand Qualification Authority education programme to meet the requirements of the provider’s agreement with the DHB. Four care staff have completed New Zealand Qualifications Authority (NZQA) qualifications at level 4, three at level 1 and one care staff has not undertaken a course as yet. Competencies have been completed for this year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for determining staffing levels and skill mixes to provide safe service delivery 24 hours a day, seven days a week. The facility adjusts staffing levels to meet the changing needs of the residents. An after-hours roster is in place with staff reporting that good access to advice is available from the registered nurses or from the facility manager if it is a non-clinical issue. Resident and families supported this at interview. No agency staff are used at this facility. The care staff interviewed stated that they were able to complete the work on each shift allocated to them.</w:t>
            </w:r>
          </w:p>
          <w:p w:rsidR="00EB7645" w:rsidRPr="00BE00C7" w:rsidP="00BE00C7">
            <w:pPr>
              <w:pStyle w:val="OutcomeDescription"/>
              <w:spacing w:before="120" w:after="120"/>
              <w:rPr>
                <w:rFonts w:cs="Arial"/>
                <w:b w:val="0"/>
                <w:lang w:eastAsia="en-NZ"/>
              </w:rPr>
            </w:pPr>
            <w:r w:rsidRPr="00BE00C7">
              <w:rPr>
                <w:rFonts w:cs="Arial"/>
                <w:b w:val="0"/>
                <w:lang w:eastAsia="en-NZ"/>
              </w:rPr>
              <w:t>Four weeks of rosters were reviewed. There are two registered nurses who cover twenty total hours a week. The registered nurse hours currently meet the requirements and acuity of the residents. A casual back up registered nurse is available if needed and one caregiver is on the casual pool. At least one staff member is on duty that has completed a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controlled drugs (CD) where stored onsite on the day of audit. No residents were prescribed any controlled drugs. Facilities are available to store CDs securely in accordance with requirements and these are checked by two staff for accuracy when administering, when is use. The controlled drug register provided evidence of weekly and six monthly stock checks and accurate entries, while they were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 monthly GP review was consistently recorded on the medicine chart. Standing orders were not used. Drug allergies were clearly recorded on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none of the residents were self-medicating. Staff understand the appropriate processes to ensure this is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The area identified for improvement at the previous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team consisting of two cooks and two kitchen hands,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Auckland Council in March 2021. Food temperatures, including for high risk items, are monitored appropriately and recorded as part of the plan. Cooks have undertaken a safe food handling qualification, with kitchen hands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standards.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activities coordinator. Two staff are currently training to be registered diversional therapists. A wide range of activities are provided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weekly activities planner sighted matches the skills, likes, dislikes and interests identified in the assessments. Individual, group activities and regular events are offered. Residents and families/whānau are involved in evaluating and improving the programme through residents’ meetings. Residents interviewed confirmed they enjoy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bruises and pain management.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27 July 2021, was publicly displayed. The two additional single residents’ rooms were reconfigured since the previous audit and both rooms are occupied. The rooms are close to bathroom facilities and both rooms are decorated to meet the needs of the individual residents. These two rooms are situated close to the reception and nurse’s office, lounge and entrance to the facility. No change to the fire evacuation plan was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chest, eye and wound.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Infection rates remained low and the trends were discussed during the staff meetings and management meetings.</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 was sighted and staff interviewed were aware of the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An experienced registered nurse is the restraint coordinator. On the day of the audit the facility was restraint free, and no enablers were in use. Staff interviewed understood the difference between an enabler and a restraint. Policy identifies an enabler to be the least restrictive and used voluntarily at the resident’s request. Restraint is only used as a last resort when all alternatives have been explored.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Y&amp;P NZ Limited - Deverton House Rest Home</w:t>
    </w:r>
    <w:bookmarkEnd w:id="58"/>
    <w:r>
      <w:rPr>
        <w:rFonts w:cs="Arial"/>
        <w:sz w:val="16"/>
        <w:szCs w:val="20"/>
      </w:rPr>
      <w:tab/>
      <w:t xml:space="preserve">Date of Audit: </w:t>
    </w:r>
    <w:bookmarkStart w:id="59" w:name="AuditStartDate1"/>
    <w:r>
      <w:rPr>
        <w:rFonts w:cs="Arial"/>
        <w:sz w:val="16"/>
        <w:szCs w:val="20"/>
      </w:rPr>
      <w:t>23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