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Whangaroa Health Services Trust - Whangaroa Health Services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Whangaroa Health Services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Whangaroa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March 2021</w:t>
      </w:r>
      <w:bookmarkEnd w:id="7"/>
      <w:r w:rsidRPr="009418D4">
        <w:rPr>
          <w:rFonts w:cs="Arial"/>
        </w:rPr>
        <w:tab/>
        <w:t xml:space="preserve">End date: </w:t>
      </w:r>
      <w:bookmarkStart w:id="8" w:name="AuditEndDate"/>
      <w:r w:rsidR="00A4268A">
        <w:rPr>
          <w:rFonts w:cs="Arial"/>
        </w:rPr>
        <w:t>17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Seven rest home level rooms were assessed as suitable for hospital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Whangaroa Health Services Trust operates an aged residential care service, the Kauri Lodge, and a community health programme (community fitness, health and well-being and children’s oral health).  The Kauri Lodge has 25 beds and provides rest home and hospital (geriatric and medical) levels of care.  On the day of the audit there were 25 residents.  A general manager oversees operations of this health service.</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staff and general practitioner.  In addition, seven rest home level rooms were verified for their suitability for hospital level of care.</w:t>
      </w:r>
    </w:p>
    <w:p w:rsidRPr="00A4268A">
      <w:pPr>
        <w:spacing w:before="240" w:line="276" w:lineRule="auto"/>
        <w:rPr>
          <w:rFonts w:eastAsia="Calibri"/>
        </w:rPr>
      </w:pPr>
      <w:r w:rsidRPr="00A4268A">
        <w:rPr>
          <w:rFonts w:eastAsia="Calibri"/>
        </w:rPr>
        <w:t>A general manager oversees operations for the Whangaroa Health Trust.  Kauri Lodge is managed by an interim clinical manager (registered nurse) who has been working at the facility as a registered nurse for two years.  Family and residents interviewed spoke positively about the care and support provided.</w:t>
      </w:r>
    </w:p>
    <w:p w:rsidRPr="00A4268A">
      <w:pPr>
        <w:spacing w:before="240" w:line="276" w:lineRule="auto"/>
        <w:rPr>
          <w:rFonts w:eastAsia="Calibri"/>
        </w:rPr>
      </w:pPr>
      <w:r w:rsidRPr="00A4268A">
        <w:rPr>
          <w:rFonts w:eastAsia="Calibri"/>
        </w:rPr>
        <w:t>This audit identified that improvements are required in relation to staff orientation, staff education, neurological assessments following a resident fall, the hazard register, integration of residents’ files, access to cleaning chemicals, and the building warrant of fitness.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Whangaroa Health Services Trust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An interim clinical manager/registered nurse (RN) is responsible for the day-to-day operations of Kauri Lodge.  Quality and risk management processes are documented and implemented.  Adverse, unplanned and untoward events are responded to in a timely manner.  Appropriate employment processes are adhered to.  An education and training programme for staff is established.  Care staff and residents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diversional therapist implements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A contracted dietitian reviews the organisation’s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are provided with access to training in restraint minimisation and challenging behaviour management.  At the time of audit there were six residents using restraints and one resident using an enabler.  The approval process for restraint use includes ensuring the environment is appropriate and safe.  Assessments and care plans identify specific interventions or strategies to try (as appropriate) before restraint is used.  Restraint use is reviewed a minimum of three-monthly.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nurse (acting clinical manager) is responsible for coordinating education and training for staff.  The infection control nurse has completed annual training provided internally online and has access to external training provided by the local DHB.  There is a suite of infection control policies and guidelines available electronically to support practice.  The infection control nurse uses the information obtained through surveillance to determine infection control activities, resources and education needs within the facility.  The service plans to engage in benchmarking with other local facilities.  There has been one gastro viral outbreak in the previous year which was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3"/>
        <w:gridCol w:w="1280"/>
        <w:gridCol w:w="98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in English and in te reo Māori.  Policy relating to the Code is implemented and staff could describe how the Code is incorporated in their everyday delivery of care.  Staff receive training about the Code during their induction to the service, which continues through in-service education and training (link 1.2.7.5).  Interviews with the managers (general manager, interim clinical manager) and eight staff (two healthcare assistants (HCAs), two registered nurses (RNs), one cook, one diversional therapist, one maintenance, one administrator) confirmed their understanding of the key principles of the Code and with examples provided of how the Code applies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five resident files (three hospital, including one long term services – chronic health care [LTS-CHC], and two rest home, including one YPD)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Healthcare assistants (HCAs) and registered nurses (RN) interviewed, confirmed verbal consent is obtained when delivering care.  Discussion with family members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of long-term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Interviews with the residents and relatives confirmed their understanding of the availability of advocacy support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complaints, both verbal and written is maintained electronically by the general manager using a complaints’ register.  The complaints process is linked to the quality management system.  There has been only one complaint lodged since the previous audit.  On review of this complaint, it was managed appropriately and has been signed off by the general manager as resolved.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advised that they are aware of the complaint procedure.  Discussion around complaints and/or concerns are included in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interim clinical manager discusses aspects of the Code with residents and their family on admission.  Discussions relating to the Code are also held during the two-monthly resident/family meetings.  Interviews with five residents (three rest home and two hospital) and three relatives (one hospital and two rest home) confirmed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respected, and independence is encouraged.  Discussions with residents and relatives were positive about the service in relation to their values and beliefs being considered and met.  Residents' files and care plans identified residents preferred names.  Values and beliefs information are gathered on admission with family involvement and are integrated into the residents' care plans.  Spiritual needs are identified.  There is a policy on abuse and neglect and staff have access to regular training (link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and supported to maintain as much independence as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six residents who identified as Māori at the time of the audit.  One file reviewed and interview with a resident who identifies as Māori indicated that their values and beliefs are identified in their care plan and are acknowledged and respected by staff.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documented iwi links.  HCAs interviewed, including one HCA who identifies as Māori, were aware of the importance of whānau in the delivery of care for Māori residents.  A selection of the HCAs can speak te reo Māori to the residents, observed during the audit.  The new clinical manager, who begins work in one week, also identifies as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are involved in developing the resident’s plan of care, which includes the identification of individual values and beliefs.  All care plans reviewed include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provided through the in-service training programme (link 1.2.7.5).  Professional boundaries are defined in job descriptions.  Interviews with healthcare assistants confirmed their understanding of professional boundaries, including the boundaries of the healthcare assistants’ role and responsibilities.  Professional boundaries are reconfirmed through education and training sessions (link 1.2.7.5),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24 hours a day, seven days a week.  A general practitioner (GP) visits the facility two days a week.  A full-time nurse practitioner, who is responsible for the community health programme, is also available on the premises.  After hours clinical service is through Whangarei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residents identified as stable every three months, with more frequent visits for those residents whose condition is not deemed stable.  Physiotherapy services are provided approximately two hours per week with a physiotherapy assistant assisting nine hours per week.  A podiatrist is on site every six weeks.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Standards of infection control throughout the 2020 pandemic situation remained robust, with fewer infections in general for both residents and staff.  All staff have complied with the request to be Covid tested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Kauri Lodge has a particular focus on providing excellent end of life care and palliative services, encouraging whānau to be beside their loved ones and participate in their care.  The staff work closely with hospice.</w:t>
            </w:r>
          </w:p>
          <w:p w:rsidR="00EB7645" w:rsidRPr="00BE00C7" w:rsidP="00BE00C7">
            <w:pPr>
              <w:pStyle w:val="OutcomeDescription"/>
              <w:spacing w:before="120" w:after="120"/>
              <w:rPr>
                <w:rFonts w:cs="Arial"/>
                <w:b w:val="0"/>
                <w:lang w:eastAsia="en-NZ"/>
              </w:rPr>
            </w:pPr>
            <w:r w:rsidRPr="00BE00C7">
              <w:rPr>
                <w:rFonts w:cs="Arial"/>
                <w:b w:val="0"/>
                <w:lang w:eastAsia="en-NZ"/>
              </w:rPr>
              <w:t>Recent improvements include improvements to the call bell system, water management system, and garden enhancements.  Work is underway to re-establish fire walls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for open disclosure.  Residents/relatives have the opportunity to feedback on service delivery through open-door communication with management.  Two-monthly resident meetings encourage open discussions around the services provided (meeting minutes sighted).  Accident/incident forms reviewed provided evidence that families are informed of incidents/accidents.  Families interviewed stated they are notified promptly of any changes to residents’ health status including any incidents or accidents.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Whangaroa Health Services is governed by a trust board, comprised of representatives from the local community.  A (non-clinical) general manager oversees the Whangaroa Trust operations; Kauri Lodge, the aged care facility; and a community health programme.  He has a business and tertiary education background and has been in this role for the past 15 months.  He is supported by an interim clinical manager who previously was a staff RN.  This role has been vacant for the past two weeks.  A new clinical manager has been appointed who will begin employment on 22 March.  She is a registered nurse who identifies as Māori.  She was previously employed as a registered nurse at Kauri Lodge from 2015-2017 and has been employed in the primary health sector as a practice nurse since 2017.  She holds a current CPR level five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Lodge is certified for up to 25 residents.  Ten beds are dedicated rest home level beds, and the remaining fifteen beds are suitable for either rest home or hospital level care.  On the day of the audit, the facility was fully occupied with 25 residents (18 rest home level, and 7 residents at hospital level).  One resident (hospital) was on a long-term service - chronic health condition (LTS-CHC) contract and two residents (one hospital, one rest home) were on a younger person with a disability (YPD) contract.  All remaining residents were under the DHB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 2020-2022 strategic plan for the Whangaroa Health Services Trust is in place that describes the vision, purpose, values and goals for the trust.  An annual quality assurance and risk management plan lists operational objectives and is linked to key performance indicators (KPIs).  Monitoring of these KPIs is linked to the internal auditing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completed a minimum of eight hours of professional development activities related to his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audit: This audit also assessed the suitability of seven rest home level beds for hospital level care.  These rooms are currently occupied with rest home level residents.  The general manager and interim clinical manager interviews confirmed that changing these rooms to dual-purpose (rest home or hospital level of care) provides greater flexibility by the service and will assist in meeting the needs of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an administrator and the interim clinical manager in his absence.  The current interim clinical manager will support the recently hired clinical manager with clinical operations in their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Kauri Lodge, under the direction of the Whangaroa Health Trust, has implemented a quality system that was purchased from an external consultant (Healthcare Compliance Solutions Ltd [HSCL]).  System components cover the collection, collation and reporting of data (eg, incidents/accidents, complaints [if any], infection control, restraint use) and the development of corrective actions where opportunities for improvements are identified.  Staff interviewed confirmed that they are actively involved in the quality management systems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implemented provide assurance that the service is meeting accepted good practice and adhering to relevant standards - including those standards relating to the Health and Disability Services (Safety) Act 2001.  There are clinical policies/procedures to support hospital and rest home level care.  Policies and procedures are regularly updated with assistance provided by HSCL.</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as per the audit schedule.  Service meetings include a monthly clinical meeting, a monthly staff meeting, and a two-monthly residents’ meeting.  Regular agenda items include accidents/incidents, infections, complaints, training, internal audit results, corrective actions, health and safety and restraint minimisation.  Meeting minutes reflect quality results being discussed with staff.  A satisfaction survey was completed two years ago with plans in place to repeat the survey in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internal audits reflect areas for improvement, a corrective action plan is generated and transferred to a corrective action register.  Corrective actions that reflect improvements are either signed off when resolved or are signed off when the audit has been repeated and meets the acceptable target.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being implemented.  The hazard register is overdue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developing individualised strategies to prevent falls from reoccurring.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enters this information into an electronic register for data collation and analysis.  The system provides monthly reports, which are then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were 10 resident-related incident forms reviewed that are documented electronically.  All incident forms (one pressure injury, two episodes of challenging behaviour, two skin tears and five falls) identified a timely RN assessment of the resident and corrective actions to minimise resident risk and reoccurrence.  Neurological observations were completed for three unwitnessed falls but did not consistently follow protocol.  The HCAs interviewed could discuss the incident reporting process.  The interim clinical manager investigates and signs off on all incident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interim clinical manager interviewed could describe situations that would require reporting to relevant authorities.  There were Section 31 notifications completed for a pressure injury, RN shortages and one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Six staff files were selected for review (two registered nurses and four healthcare assistants).  Signed employment agreements and job descriptions were sighted.  Copies of practising certificates for RNs and external health professionals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could describe the orientation process and stated that they believed new staff were adequately orientated to the service.  Missing in a selection of staff files was evidence that the orientation programme was completed.</w:t>
            </w:r>
          </w:p>
          <w:p w:rsidR="00EB7645" w:rsidRPr="00BE00C7" w:rsidP="00BE00C7">
            <w:pPr>
              <w:pStyle w:val="OutcomeDescription"/>
              <w:spacing w:before="120" w:after="120"/>
              <w:rPr>
                <w:rFonts w:cs="Arial"/>
                <w:b w:val="0"/>
                <w:lang w:eastAsia="en-NZ"/>
              </w:rPr>
            </w:pPr>
            <w:r w:rsidRPr="00BE00C7">
              <w:rPr>
                <w:rFonts w:cs="Arial"/>
                <w:b w:val="0"/>
                <w:lang w:eastAsia="en-NZ"/>
              </w:rPr>
              <w:t>Review of the in-service education programme for 2020 reflected less than eight hours of training per person.  Online training is available for staff but interviews with the healthcare assistants indicated that they are reluctant to engage in online learning.</w:t>
            </w:r>
          </w:p>
          <w:p w:rsidR="00EB7645" w:rsidRPr="00BE00C7" w:rsidP="00BE00C7">
            <w:pPr>
              <w:pStyle w:val="OutcomeDescription"/>
              <w:spacing w:before="120" w:after="120"/>
              <w:rPr>
                <w:rFonts w:cs="Arial"/>
                <w:b w:val="0"/>
                <w:lang w:eastAsia="en-NZ"/>
              </w:rPr>
            </w:pPr>
            <w:r w:rsidRPr="00BE00C7">
              <w:rPr>
                <w:rFonts w:cs="Arial"/>
                <w:b w:val="0"/>
                <w:lang w:eastAsia="en-NZ"/>
              </w:rPr>
              <w:t>Two of five registered nurses have completed interRAI training.  An additional RN with interRAI training is currently on maternity leave.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roster is in place which provides sufficient staff cover for the provision of care and service to 25 residents.  </w:t>
            </w:r>
          </w:p>
          <w:p w:rsidR="00EB7645" w:rsidRPr="00BE00C7" w:rsidP="00BE00C7">
            <w:pPr>
              <w:pStyle w:val="OutcomeDescription"/>
              <w:spacing w:before="120" w:after="120"/>
              <w:rPr>
                <w:rFonts w:cs="Arial"/>
                <w:b w:val="0"/>
                <w:lang w:eastAsia="en-NZ"/>
              </w:rPr>
            </w:pPr>
            <w:r w:rsidRPr="00BE00C7">
              <w:rPr>
                <w:rFonts w:cs="Arial"/>
                <w:b w:val="0"/>
                <w:lang w:eastAsia="en-NZ"/>
              </w:rPr>
              <w:t>The interim clinical manager (RN) is rostered Monday to Friday and on call.  A registered nurse is rostered each shift.  Additional RN staffing is rostered to complete interRAI assessments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Rose Wing (ten rest home level residents) is staffed with one healthcare assistant on each shift.  </w:t>
            </w:r>
          </w:p>
          <w:p w:rsidR="00EB7645" w:rsidRPr="00BE00C7" w:rsidP="00BE00C7">
            <w:pPr>
              <w:pStyle w:val="OutcomeDescription"/>
              <w:spacing w:before="120" w:after="120"/>
              <w:rPr>
                <w:rFonts w:cs="Arial"/>
                <w:b w:val="0"/>
                <w:lang w:eastAsia="en-NZ"/>
              </w:rPr>
            </w:pPr>
            <w:r w:rsidRPr="00BE00C7">
              <w:rPr>
                <w:rFonts w:cs="Arial"/>
                <w:b w:val="0"/>
                <w:lang w:eastAsia="en-NZ"/>
              </w:rPr>
              <w:t>Tui Wing (eight rest home and seven hospital level residents) is staffed with one long shift healthcare assistant on the AM shift and one short shift (to 1 pm), and one long and one short healthcare assistant (9.30 pm)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There is one healthcare assistant to support the rostered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Note: Due to RN shortages, the DHB supplied Kauri Lodge with an interim RN until one could be recruited and could travel under the Covid pandemic level three.  </w:t>
            </w:r>
          </w:p>
          <w:p w:rsidR="00EB7645" w:rsidRPr="00BE00C7" w:rsidP="00BE00C7">
            <w:pPr>
              <w:pStyle w:val="OutcomeDescription"/>
              <w:spacing w:before="120" w:after="120"/>
              <w:rPr>
                <w:rFonts w:cs="Arial"/>
                <w:b w:val="0"/>
                <w:lang w:eastAsia="en-NZ"/>
              </w:rPr>
            </w:pPr>
            <w:r w:rsidRPr="00BE00C7">
              <w:rPr>
                <w:rFonts w:cs="Arial"/>
                <w:b w:val="0"/>
                <w:lang w:eastAsia="en-NZ"/>
              </w:rPr>
              <w:t>Staff are employed specifically for housekeeping, laundry and kitchen duties.  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interim clinical manager interviewed advised that additional staff can be rostered to meet additional needs of the residents.  Currently all beds are occupied.  RN staffing would be increased with an occupancy of 19 hospital level residents or more.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files are backed up using cloud-based technology.  Medical notes are not integrated into the electronic resident file, being held on a separate system to which the nurses have no access.  Entries into the resident file are legible, timed, dated and signed electronically by the relevant HCA or RN,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general manager and clinical manager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five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general manager or clinical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One file reviewed was of a resident who had been transferred to hospital acutely for an x-ray.  All appropriate documentation and communication were completed.  Transfer to the hospital and back to the facility post-discharge was well documented in progress notes.  Communication with family was made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additional seven beds in the rest home wing, assessed by the auditors as suitable for hospital level of care, would use the same medication room as the dual-purpose wing.  Both wings are located on the same (ground) level and are in close proximity to each other.  (Note: The medication room is located in the dual-purpose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self-administering on the day of audit.  All legal requirements had been met.  There are no standing orders in use.  There are no vaccines stored on site.  All clinical staff (RNs and med comp HCAs)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an HCA interviewed could describe their role regarding medication administration.  The service currently uses the medico blister pack system for regular medication and ‘as required’ medications.  All medications are checked on delivery against the medication chart and any discrepancies are fed back to the supplying pharmacy.  Medications were appropriately stored in the medication room.  The medication fridge and medication room temperatures are monitored daily, and the temperatures were within acceptable ranges.  All medications including the bulk supply order is checked and signed for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using 1chart.  Ten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kitchen manager oversees the on-site kitchen, and all meals are cooked on site.  There is a seasonal four-week rotating menu, which is reviewed by an external consulting dietitian every two years.  A nutritional profile is developed for each resident on admission which identifies dietary requirements and likes and dislikes, and this is provided to the kitchen staff by registered nurses.  The kitchen is able to meet the needs of residents who require special diets, and the cooks work closely with the registered nurses on duty.  Special diets and likes and dislikes are readily visible on a whiteboard in the kitchen and are updated with any changes to match updated nutritional profiles.  Special equipment such as lipped plates and adapted cutlery are available according to resident need.  On the day of audit, meals were observed to be well presented.  Supplements are provided to residents with identified weight loss issues.  Additional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and a current approved food control plan was in evidence, expiring February 2022.  Kitchen staff are trained in safe food handling.  Staff were observed to be wearing correct personal protective clothing.  End-cooked and serving temperatures are taken on each meal.  Chiller and freezer temperatures are taken daily and were all within the acceptable range.  Cleaning schedules are maintained.  All foods were date labelled in the pantry, chiller and freezer.  There is a kitchen manual and a range of policies and procedures to safely manage the kitchen and meal services.  Audits are implemented to monitor performance.  Resident meetings, surveys and interaction with the kitchen staff allow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Assessments include falls, pressure area risk, skin integrity, nutritional, continence, pain (verbalising and non-verbalising), activities and cultural assessment.  These are completed on admission and reviewed six-monthly as part of the evaluation unless changes occur prior, in which case a review is carried out at that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had been completed for all long-term residents’ files reviewed.  Areas triggered were addressed in the care plans reviewed.  Initial interRAI assessments and reviews are evident in printed format in all resident files (link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across a range of conditions including (but not limited to) pressure injury care, diabetes, dementia, behaviour that challenges, mobility, and weight loss.  In all files reviewed the care plans were comprehensive, addressed the resident need and were integrated with other allied health services involved in resident care.  Files reviewed identified input from a range of specialist care professionals, including the podiatrist, dietitian, wound care specialist and mental health care team for older people.  Noting GP notes were not integrated in files (link 1.2.9.10).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The care staff interviewed advised that the care plans were easy to follow.  Monitoring documents reviewed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reflected the interventions detailed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family/whānau contact for any changes to resident health status was viewed in the resident files sampled.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documented wound progress.  There were seven ongoing wounds including one lesion, three skin tears, two grade 2 pressure injuries (facility acquired) and one unstageable pressure injury (facility acquired).  There was evidence of wound nurse specialist involvement when required for advice and input.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Overall, monitoring requirements were documented with the exception of neurological observations which were not always completed as per policy (link 1.2.4.3).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was complimentary of the service and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and utilises volunteer activity assistants to plan and lead activities in the home.  A weekly activities calendar incorporates set themes and events to which the activities team add to in order to individualise activities to resident need and preferences within the facility.  A weekly activities calendar is distributed to residents, posted on noticeboards and is available in large print.  On the days of audit residents were observed participating in activities.  The diversional therapist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of interest in the community and there are regular entertainers visiting the facility.  Special events like birthdays, Easter, Mothers’ Day, Anzac Day and other cultural festive days are celebrated.  There are visiting community groups such as the kapa haka, church groups and ukulele group.  The activity team provide a range of activities which include (but are not limited to) exercises, bowls, crafts, games, quizzes, entertainers, and bingo.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is involved in the admission process, completing the initial activities assessment, and has input into the cultural assessment,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according to their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five resident care plans reviewed had been evaluated by the registered nurses if there was a change in resident health status.  Care plan evaluations were documented and reviewed progress to meeting goals (link 1.3.3.3).  Activities plans are in place for each of the residents and these are also evaluated six-monthly.  There are three-monthly reviews by the GP for all residents which family are able to attend if they wish to do so.  Six monthly multi-disciplinary reviews and meeting minutes are completed by the registered nurse with input from caregivers, the GP, the diversional therapist, resident and family/whānau members and any other relevant person involved in the care of the resident.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Whangaroa Health Services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acting clinical manager interviewed gave an example of where a resident’s condition had changed, and the resident had been reassessed for end-of-life care and a referral for hospice input had occurred.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however not all were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did not display a current building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maintenance persons covering five days a week plus on call as required.  Daily maintenance requests are addressed.  There is an annual maintenance plan, which includes six-monthly building compliance checks, (eg, hot water temperature, call bells, resident equipment and safety checks).  Medical equipment has an annual calibration which is next due in December 2021.  Electrical appliances have been tested and tagged and are next due to be tested in February 2022.  Fire system compliance checks are carried out, however newly fitted smoke doors are not connected to the fire alarm – door release system.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There is safe access to the outdoor areas and decking on the ground floor.  There is a designated outdoor smoking area.  Seating and shade are provided.  The HCAs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There are adequate numbers of hoists and mobility equipment available to allow for the safe transfer and mobility for residents.  The GM confirmed that in the event additional hospital level residents required a hoist, the clinical manager would assess the need for additional equipment and that this would be supported by the trust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showers and toilets for the residents in all units.  There are communal toilets located near the lounge/dining rooms.  Communal toilet/shower/bathing facilities have a system that indicates if it is engaged or vacant.  Residents interviewed reported their privacy is maintained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Visual inspection evidenced toilet and shower facilities are of an appropriate design to meet the needs of the residents.  The fixtures, fittings, floors and wall surfaces are constructed from materials that can be easily cleaned.  Handrails are appropriately placed in bathrooms, communal showers and toilets.  There is ample space in toilet and shower areas to accommodate shower chairs and a hoist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seven rooms located in the rest home wing that were assessed as suitable for either rest home or hospital level of care are ample-sized, contain hospital level beds, and include extra wide doors to allow for equipment to move safety in and out of the rooms.  They are located on same (ground) level and are adjacent to the current dual-purpose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Activities occur in all lounges and dining areas which are large enough to cater for the activities on offer, are accessible and can accommodate the equipment required for the residents.  There are sufficient lounges and private/quiet seating areas where residents who prefer quieter activities or visitors may sit.  The lounge and dining areas are spacious, inviting and appropriate for the needs of the residents.  Residents are able to move freely through and around these areas and furniture is placed to facilitate this.  Residents were seen to be moving freely both with and without assistance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dining and lounge areas in the rest home wing can comfortably accommodate either rest home or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laundry is done on site.  There are clearly defined clean and dirty areas and entry/exit.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manual available.  Cleaning and laundry services are monitored through the internal auditing system.  The cleaners’ equipment was attended at all times when in use and stored in the sluice at other times (link 1.4.1.1).  All chemicals on the cleaner’s trolley were labelled.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management plans in place to guide staff in managing emergencies and disasters.  Emergency management is included in the mandatory in-service programme (link 1.2.7.5).  Three of six RNs hold a current first aid certificate with the remaining three RNs scheduled to attend a first aid course (link 1.2.7.5).  Fire evacuation drills take place every six months with the most recent drill taking place on 24 February 2021.  There is an approved fire evacuation scheme.  Fire walls are currently under construction (link 1.4.2.1).  The service has alternative gas facilities for cooking in the event of a power failure, with a generator available for emergency lighting and battery backup.  Adequate emergency water stores are available. Residents were observed with call bells in close proximity.  There are two call bells systems being used that are regularly checked by maintenance staff.  The facility is secured at sundown and is kept locked until the morning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and have ample natural light and ventilation.  The facility has thermostatically controlled heating.  Staff and residents interviewed stated that this is effective.  All bedrooms and communal areas have at least one external window.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nurse (ICN) is an RN who is responsible for infection control across the facility as detailed in the ICN job description (signed copy sighted on day of audit).  The ICN oversees infection control for the facility, reviews incidents on HCSL and is responsible for the collation of monthly infection events and reports.  The infection control committee and facility management are responsible for the development and review of the infection control programme.  The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was one outbreak in 2021 which was appropriately managed.</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Whangaroa Health Services.  The ICN liaises with the infection control committee who meet monthly and as required.  Information is shared as part of staff meetings and also as part of the registered nurse meetings.  The ICN has completed annual training in infection control.  External resources and support are available through the local DHB, microbiologist, GP, and wound nurse when required.  The GP monitors the use of antibiotics.  Overall effectiveness of the programme is monitored by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the infection control team, and training and education of staff.  Infection control procedures developed in respect of care, the kitchen, laundry and housekeeping incorporate the principles of infection control.  Policies are updated regularly by an external contractor (HCSL).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coordinating/providing education and training to staff.  The orientation package includes specific training around hand hygiene and standard precautions.  Annual infection control training is included in the in-services that are held for all staff, and staff have completed infection control education in the last 12 months. The infection control nurse has access to the internet-based education resources and guidelines for best practice.  The ICN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organisation’s surveillance policy.  The infection control nurse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infection control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(HCSL) and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confirms their understanding of restraints and enablers.  At the time of the audit, the service had six (hospital level) residents using bed rails and a lap belt as restraints, and one (hospital level) resident with bedrails as an enabler.  Staff training is available around restraint minimisation and management of challenging behaviours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(RN) are documented and understood. The restraint coordinator was not available during the audit with the interim clinical manager responsible for the restraint programme in her absence.  The interim clinical manager has a sound understanding of the restraint minimisation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two hospital level residents using bed rails and a lap belt as a restraint and one hospital level resident using bedrails as an enabler were reviewed.  The completed assessments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includes ensuring the environment is appropriate and safe.  Assessments and care plans identify specific interventions or strategies to trial (as appropriate) before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of two residents with restraint, identified observations and monitoring, with monitoring records indicating it is occurring at the frequency determined in the restraint assessment.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through the one-three-monthly evaluation process and six-monthly multidisciplinary meetings.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one-three-monthly as part of the ongoing reassessment for the residents on the restraint register.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is regularly monitored for its effectiveness, led by the restraint coordinator.  Efforts are currently underway to increase staff attendance at restraint minimisation education and training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091"/>
        <w:gridCol w:w="1280"/>
        <w:gridCol w:w="3689"/>
        <w:gridCol w:w="2330"/>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safety meetings take place quarterly.  A corrective action plan is in place for areas identified for improvements including the expired building warrant of fitness (link 1.4.2.1).  New staff and contractors are orientated to health and safety practices.  Health and safety audits, to monitor hazards, has not been undertaken for over one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hazard register, and associated environmental audit, are overdue for monitoring and review with the last review taking place over one year ago.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hazards are regularly monitored to ensure that hazards are either eliminated, isolated or minimised.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Accidents and incidents were documented in a comprehensive manner, including actions to be taken to prevent recurrence.  Family notification is also documented on the accident/incident form.  Missing was consistent evidence of neurological observations being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three unwitnessed falls with associated neurological observations did not follow the RN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unwitnessed falls follow written protocol for neurological observations.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orientation programme is in place for new staff, relevant to their job role and responsibilities.  Missing is documentation to evidence that the orientation programme is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six staff files were missing evidence of a completed orientation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is held to evidence staff completing an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attended less than eight hours per annum of education per year. They have implemented an online training programme, but the staff (interviewed) stated that they are not confident with computers and just don’t do the required training on the computers.  The chief executive acknowledges this problem and states that he plans to go back to delivering more in-service training to try to increase staff numbers.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auditor was unable to evidence that care staff have attended a minimum of eight hours of training over the past 12 months.  Staff interviewed confirmed that they are reluctant to use the online education programme that has been made available to them.</w:t>
            </w:r>
          </w:p>
          <w:p w:rsidR="00EB7645" w:rsidRPr="00BE00C7" w:rsidP="00BE00C7">
            <w:pPr>
              <w:pStyle w:val="OutcomeDescription"/>
              <w:spacing w:before="120" w:after="120"/>
              <w:rPr>
                <w:rFonts w:cs="Arial"/>
                <w:b w:val="0"/>
                <w:lang w:eastAsia="en-NZ"/>
              </w:rPr>
            </w:pPr>
            <w:r w:rsidRPr="00BE00C7">
              <w:rPr>
                <w:rFonts w:cs="Arial"/>
                <w:b w:val="0"/>
                <w:lang w:eastAsia="en-NZ"/>
              </w:rPr>
              <w:t>ii) Three of six RNs have evidence of current first aid/CPR certificates which leaves the facility short of an individual with a current CPR certificate 24/7 and on outings.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staff attend a minimum of eight hours of training per year.  </w:t>
            </w:r>
          </w:p>
          <w:p w:rsidR="00EB7645" w:rsidRPr="00BE00C7" w:rsidP="00BE00C7">
            <w:pPr>
              <w:pStyle w:val="OutcomeDescription"/>
              <w:spacing w:before="120" w:after="120"/>
              <w:rPr>
                <w:rFonts w:cs="Arial"/>
                <w:b w:val="0"/>
                <w:lang w:eastAsia="en-NZ"/>
              </w:rPr>
            </w:pPr>
            <w:r w:rsidRPr="00BE00C7">
              <w:rPr>
                <w:rFonts w:cs="Arial"/>
                <w:b w:val="0"/>
                <w:lang w:eastAsia="en-NZ"/>
              </w:rPr>
              <w:t>ii) A person trained in first aid/CPR must be available 24/7 and on outings.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All records pertaining to individual consumer service delivery are integrated.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All had been reviewed at least three-monthly by the contracted GP.  The GP notes from these reviews are not in the resident file and are held on a separate system to which the nurses have no independent access.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resident file reviewed did not contain medical notes from GP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records pertaining to individual consumer service are integrated.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reviewed documented a care plan using the organisation’s template.  Long-term care plans and interRAI assessments were not reviewed/evaluated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five resident files showed long-term care plans and interRAI assessments were not reviewed within the timeframes stated in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interRAI assessments and care plans are reviewed within the required timeframes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sluice contained chemicals that were not stored safely in a locked cupboard/room.  A corrective action plan to remedy this was commenced on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sluice doors did not have locks fitted on the day of audit.  A cleaner’s trolley containing cleaning chemicals was readily accessible in the open, non-lockable sluice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chemicals are stored safely in a manner not accessible to residents and visitors.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displayed a BWOF that expired 31 May 2020.  The newly fitted smoke doors are not connected to the current fire alarm – door release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service does not have a current BWOF.</w:t>
            </w:r>
          </w:p>
          <w:p w:rsidR="00EB7645" w:rsidRPr="00BE00C7" w:rsidP="00BE00C7">
            <w:pPr>
              <w:pStyle w:val="OutcomeDescription"/>
              <w:spacing w:before="120" w:after="120"/>
              <w:rPr>
                <w:rFonts w:cs="Arial"/>
                <w:b w:val="0"/>
                <w:lang w:eastAsia="en-NZ"/>
              </w:rPr>
            </w:pPr>
            <w:r w:rsidRPr="00BE00C7">
              <w:rPr>
                <w:rFonts w:cs="Arial"/>
                <w:b w:val="0"/>
                <w:lang w:eastAsia="en-NZ"/>
              </w:rPr>
              <w:t>(ii). The smoke doors do not comply with the current fire service evacuation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the building complies with current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Whangaroa Health Services Trust - Whangaroa Health Services</w:t>
    </w:r>
    <w:bookmarkEnd w:id="58"/>
    <w:r>
      <w:rPr>
        <w:rFonts w:cs="Arial"/>
        <w:sz w:val="16"/>
        <w:szCs w:val="20"/>
      </w:rPr>
      <w:tab/>
      <w:t xml:space="preserve">Date of Audit: </w:t>
    </w:r>
    <w:bookmarkStart w:id="59" w:name="AuditStartDate1"/>
    <w:r>
      <w:rPr>
        <w:rFonts w:cs="Arial"/>
        <w:sz w:val="16"/>
        <w:szCs w:val="20"/>
      </w:rPr>
      <w:t>16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