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Wellness Enterprises Limited - Raglan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Wellness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Raglan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April 2021</w:t>
      </w:r>
      <w:bookmarkEnd w:id="7"/>
      <w:r w:rsidRPr="009418D4">
        <w:rPr>
          <w:rFonts w:cs="Arial"/>
        </w:rPr>
        <w:tab/>
        <w:t xml:space="preserve">End date: </w:t>
      </w:r>
      <w:bookmarkStart w:id="8" w:name="AuditEndDate"/>
      <w:r w:rsidR="00A4268A">
        <w:rPr>
          <w:rFonts w:cs="Arial"/>
        </w:rPr>
        <w:t>19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Raglan Rest Home and Hospital provides rest home and hospital level care to a maximum of 36 residents. The service is owned and operated by Wellness Enterprises Ltd.  The facility management and day to day services are overseen by the owner who is an experienced registered nurse (RN) and provides clinical nurse leadership to the RNs and care staff. </w:t>
      </w:r>
    </w:p>
    <w:p w:rsidRPr="00A4268A">
      <w:pPr>
        <w:spacing w:before="240" w:line="276" w:lineRule="auto"/>
        <w:rPr>
          <w:rFonts w:eastAsia="Calibri"/>
        </w:rPr>
      </w:pPr>
      <w:r w:rsidRPr="00A4268A">
        <w:rPr>
          <w:rFonts w:eastAsia="Calibri"/>
        </w:rPr>
        <w:t>There have been no significant changes to the scope of services or staffing since the previous certification audit.</w:t>
      </w:r>
    </w:p>
    <w:p w:rsidRPr="00A4268A">
      <w:pPr>
        <w:spacing w:before="240" w:line="276" w:lineRule="auto"/>
        <w:rPr>
          <w:rFonts w:eastAsia="Calibri"/>
        </w:rPr>
      </w:pPr>
      <w:r w:rsidRPr="00A4268A">
        <w:rPr>
          <w:rFonts w:eastAsia="Calibri"/>
        </w:rPr>
        <w:t>This unannounced surveillance audit was conducted against the Health and Disability Services Standards and the service’s contract with the District Health Board (DHB). The audit process included review of documents including residents’ and staff files, observations and interviews with residents and family members, the owner/manager, staff, and a general practitioner (GP).</w:t>
      </w:r>
    </w:p>
    <w:p w:rsidRPr="00A4268A">
      <w:pPr>
        <w:spacing w:before="240" w:line="276" w:lineRule="auto"/>
        <w:rPr>
          <w:rFonts w:eastAsia="Calibri"/>
        </w:rPr>
      </w:pPr>
      <w:r w:rsidRPr="00A4268A">
        <w:rPr>
          <w:rFonts w:eastAsia="Calibri"/>
        </w:rPr>
        <w:t>Residents and their families spoke positively about the care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Implemented systems and the environment is conducive to effective communication. The complaints management system meets the requirements of the Code and is known by staff, residents and their families. There have been no serious complaint investigations or any formal complaints submitted since the February 2019 certification audit. Residents and the family member interviewed reported that the manager immediately responds to and addresses any concerns they raise.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annual business and quality risk management plans include the scope, direction, goals, values and mission statement of the organisation.  An experienced and suitably qualified person manages the services being delivered. </w:t>
      </w:r>
    </w:p>
    <w:p w:rsidRPr="00A4268A">
      <w:pPr>
        <w:spacing w:before="240" w:line="276" w:lineRule="auto"/>
        <w:rPr>
          <w:rFonts w:eastAsia="Calibri"/>
        </w:rPr>
      </w:pPr>
      <w:r w:rsidRPr="00A4268A">
        <w:rPr>
          <w:rFonts w:eastAsia="Calibri"/>
        </w:rPr>
        <w:t xml:space="preserve">The quality and risk management system includes monitoring service delivery and other operations through internal audits. Quality improvement data is collected, analysed for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w:t>
      </w:r>
    </w:p>
    <w:p w:rsidRPr="00A4268A">
      <w:pPr>
        <w:spacing w:before="240" w:line="276" w:lineRule="auto"/>
        <w:rPr>
          <w:rFonts w:eastAsia="Calibri"/>
        </w:rPr>
      </w:pPr>
      <w:r w:rsidRPr="00A4268A">
        <w:rPr>
          <w:rFonts w:eastAsia="Calibri"/>
        </w:rPr>
        <w:t xml:space="preserve">The appointment, orientation and management of staff is based on good employment practices.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are responsible for completing nursing assessments, care plans and evaluations. Assessments were current and up to date. Interventions were adequate to meet the residents’ assessed needs.</w:t>
      </w:r>
    </w:p>
    <w:p w:rsidRPr="00A4268A" w:rsidP="00621629">
      <w:pPr>
        <w:spacing w:before="240" w:line="276" w:lineRule="auto"/>
        <w:rPr>
          <w:rFonts w:eastAsia="Calibri"/>
        </w:rPr>
      </w:pPr>
      <w:r w:rsidRPr="00A4268A">
        <w:rPr>
          <w:rFonts w:eastAsia="Calibri"/>
        </w:rPr>
        <w:t>The planned activities provided were appropriate to meet the needs, age, culture, and setting of the service. The activities reflected the ordinary patterns of life and included involvement of other representatives and other community groups.</w:t>
      </w:r>
    </w:p>
    <w:p w:rsidRPr="00A4268A" w:rsidP="00621629">
      <w:pPr>
        <w:spacing w:before="240" w:line="276" w:lineRule="auto"/>
        <w:rPr>
          <w:rFonts w:eastAsia="Calibri"/>
        </w:rPr>
      </w:pPr>
      <w:r w:rsidRPr="00A4268A">
        <w:rPr>
          <w:rFonts w:eastAsia="Calibri"/>
        </w:rPr>
        <w:t>The service uses a pre-packaged medication system and electronic medication management system. Medication is administered by staff with current medication administration competencies. Medication reviews are completed by the general practitioner (GP) in a timely manner.</w:t>
      </w:r>
    </w:p>
    <w:p w:rsidRPr="00A4268A" w:rsidP="00621629">
      <w:pPr>
        <w:spacing w:before="240" w:line="276" w:lineRule="auto"/>
        <w:rPr>
          <w:rFonts w:eastAsia="Calibri"/>
        </w:rPr>
      </w:pPr>
      <w:r w:rsidRPr="00A4268A">
        <w:rPr>
          <w:rFonts w:eastAsia="Calibri"/>
        </w:rPr>
        <w:t>All aspects of food procurement, production, preparation, storage, transportation, delivery, and disposal comply with current legislation and guidelines. There is a current food control plan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structure of the buildings since the previous audit. Building improvements for safety and enhancements are ongoing. 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meets the requirements of the restraint minimisation and safe practice standards. There were no restraint interventions in place at the time of this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suitable to the size and scope of the service. Infection rates are monitored and shared with staff and the owner/manager and clinical nurse leader. Data on infections is collated and analysed to identify trends.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9"/>
        <w:gridCol w:w="1280"/>
        <w:gridCol w:w="100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what to do if they had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reported no formal complaints had been received since the previous certification audit. Issues or areas of concern raised by staff, families or residents are managed directly by the owner/manager who is on site each weekday and often works nursing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complaints received or investigated by the DHB or the Office of the Health and Disability Commission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family members interviewed said they were kept well informed about any changes to their relative’s status and were advised in a timely manner about any incidents or accidents. Communication about the outcomes of, and invitations to participate in regular or urgent medical reviews were forthcoming. This was supported in the residents’ records reviewed.  Staff and the manager interviewed understood the principles of open disclosure, which is supported by policies and procedures that meet the requirements of the Code. There was one resident on site for whom English was a second language, but this person did not require an interpreter, as they were able to articulate their needs and family visited frequently enough to assist with communication when required. All care staff were respectful of and understood this resident’s expressed desires.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Raglan Rest Home and Hospital has a total capacity of 36 beds. The service provider has agreements with the Ministry of Health and Waikato DHB to provide services to people under 65 of years, age residential care for hospital geriatric and rest home services, long term support chronic health conditions (LTS-CHC) palliative care, respite/short term care, and a day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33 residents on site. Of these, 18 residents were receiving rest home level care and five were receiving hospital level care. Four residents were on respite (two assessed as hospital level and two as rest home). There were six residents under the age of 65 years. Three were funded under the MoH contract for young people with disabilities and three under the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clearly described scope, direction and goals documented in its annual strategic and quality plan.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the owner/clinical nurse leader who is on site every weekday. This person is a New Zealand registered nurse with a Post Graduate Diploma in Gerontology and a certificate in public health nursing. The manager has held various clinical nurse and regional manager roles in residential disability and age care services. Interview confirmed that this person is maintaining essential skills and knowledge by attending regular professional development and industry conferences.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all RNs had current first aid certificates.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Raglan Rest Home and Hospital continues its membership with The Cavell Group, a group of other age care providers who share a quality and risk system which includes a comprehensive set of policies and procedures. Policies are based on best practice and cover all necessary aspects of the service and contractual requirements, including reference to the interRAI Long Term Care Facility (LTCF) assessment tool and process. Control of these documents is moderated by all directors of the Cavell Group, who facilitate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system includes a schedule of internal audits, documentation and monitoring of any changes made as a result of an audit, management of incidents, including clinical incidents such as infections and complaints. Interview with the manager and the review of documents related to quality (for example, audit outcomes, results of incident data analysis and meeting minutes) confirmed use of the system and a commitment to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demonstrated knowledge, understanding and involvement with quality and risk management activities. Month by month analytical reports on incidents/accidents are discussed at monthly staff meetings. This was confirmed by review of meeting minutes and staff interviews. Feedback about specific services is sought from residents and their family members at regular resident and family meetings.  Resident satisfaction surveys are completed annually. The most recent survey from 2020 showed no areas for concern.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conversant with the Health and Safety at Work Act (2015) and has implemented its requirements. Review of the current risk management plan identifies all known risks and clearly described mitigation strategies.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well established and managed processes for the reporting, recording, investigation and review of all incidents and accidents. Review of onsite documents and interviews with staff and management confirmed these are reviewed and discussed at staff meetings. Avoidable events are evaluated and actions are implemented to prevent recurrence.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and review of incident data confirmed that incidents are discussed at shift handover, and trending data is displayed in staff areas. Each resident’s care record contained a summary of incidents which facilitates a ready review of risks. </w:t>
            </w:r>
          </w:p>
          <w:p w:rsidR="00EB7645" w:rsidRPr="00BE00C7" w:rsidP="00BE00C7">
            <w:pPr>
              <w:pStyle w:val="OutcomeDescription"/>
              <w:spacing w:before="120" w:after="120"/>
              <w:rPr>
                <w:rFonts w:cs="Arial"/>
                <w:b w:val="0"/>
                <w:lang w:eastAsia="en-NZ"/>
              </w:rPr>
            </w:pPr>
            <w:r w:rsidRPr="00BE00C7">
              <w:rPr>
                <w:rFonts w:cs="Arial"/>
                <w:b w:val="0"/>
                <w:lang w:eastAsia="en-NZ"/>
              </w:rPr>
              <w:t>The manager/ owner is responsible for essential notifications and reporting and understood the statutory and regulatory obligations. There have been no section 31 notifications since the 2019 recertification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processes for staff management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A staff member who had previously worked at the home was complimentary of the orientation process. Other new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Training to meet the needs of younger individuals with disabilities also occurs.</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On the day of audit, six of the 16 carers had completed level 4 of the National Certificate in Health and Wellness, three had completed level 3 and one was at level 2. The other six carers were either employed as casual staff, were new to the organisation or had been employed in their roles for many years.</w:t>
            </w:r>
          </w:p>
          <w:p w:rsidR="00EB7645" w:rsidRPr="00BE00C7" w:rsidP="00BE00C7">
            <w:pPr>
              <w:pStyle w:val="OutcomeDescription"/>
              <w:spacing w:before="120" w:after="120"/>
              <w:rPr>
                <w:rFonts w:cs="Arial"/>
                <w:b w:val="0"/>
                <w:lang w:eastAsia="en-NZ"/>
              </w:rPr>
            </w:pPr>
            <w:r w:rsidRPr="00BE00C7">
              <w:rPr>
                <w:rFonts w:cs="Arial"/>
                <w:b w:val="0"/>
                <w:lang w:eastAsia="en-NZ"/>
              </w:rPr>
              <w:t>Three of the six RNs are maintaining annual competency requirements to undertake interRAI assessments. Each of the staff records reviewed contained evidence of required training attended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A new electronic rostering system enables immediate changes to staff levels, tracking of shifts worked and communication to all staff via their cell phones. There are four care staff on site every morning and three in the afternoon, plus an RN and the nurse manager during the weekdays. The nurse manager oversees all clinical care and completes nursing shifts to stay familiar with residents’ care needs and the workload expected of staff. There is one RN and one care staff rostered on each night. Care staff interviewed said there were enough staff on each shift to complete the tasks allocated to them and that staff morale was good.  Residents and family members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An afterhours on call roster of RNs and GPs is in place, with staff reporting that good access to advice is available when needed. Observations and review of a four-week roster cycle confirmed more than adequate staff cover has been provided. Absent staff are usually replaced by employed staff doing additional hours. At least one staff member on each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Raglan Rest Home and Hospital has a safe electronic medication management system in place that was observed on the day of the audit. The medication management policy was current and identified all aspects of medicine management in line with safe practice guidelines and current legislative requirements. Staff who administer medication had current medication administration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 RN who was observed administering medicines demonstrated good knowledge and had a clear understanding of their roles and responsibilities related to each stage of medicine management. Medicines were stored safely in the locked cupboards and medicine trolley in the nurses’ station. Staff have individual passwords to access the electronic medicine records. The medicine fridge and medication room temperatures were monitored, and the reviewed records were within the recommended ranges.</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completes medication reconciliation upon residents’ readmission from acute services and when medication is received from the pharmacy. All medications sighted were within current use by dates. Clinical pharmacist input is provided on request. Unwanted medicines are returned to the pharmacy. 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completed three-monthly medication reviews consistently, this was verified on electronic medicine charts reviewed. Dates were recorded on the commencement and discontinuation of medicines. Evaluation of pro re nata (PRN) medicines administered were completed consistently.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 Appropriate processes were in place to ensure this was managed in a safe manner when required. Interviewed staff demonstrated awareness of the medication self-administration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nutritional needs are identified on admission by the RNs and diet profiles are completed. Special dietary requirements, including likes, dislikes and allergies were identified and accommodated in the meal plan. Copies of the dietary forms were sighted in the kitchen file.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chef and two cooks and is in line with recognised nutritional guidelines for older people. The menu follows summer and winter patterns in a four-week cycle. The menu has been reviewed by a qualified dietitian on 31 March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and current food safety plan and registration issued by the Waikato District Council. Food temperatures were monitored appropriately and recorded as part of the plan. Fridge and freezer temperatures were monitored and documented as required. The kitchen was clean, no expired food was found in the pantry and left-over food was covered and dated. The cooks have completed a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family/whanau reported satisfaction with the food service, and this was verified in the satisfaction surveys sighted. On the day of the audit residents were given enough time to eat their meal in an unhurried fashion.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interventions documented in the long-term care plans reviewed were adequate and appropriate to address residents’ assessed needs and desired outcomes. Observations and interviews with residents and family/whanau verified that care provided to residents was consistent with their needs, goals, and the plan of care. The attention to meeting a diverse range of residents’ individualised needs was evident in all areas of service provision. The GP confirmed that medical input was sought in a timely manner, and care was provided as prescribed. Adequate equipment and resources were available to meet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the activities coordinator (AC) who is in the process of completing the level four diversional therapy training through Careerforce. She is supported by community volunteers. The AC completes the activities assessments for all residents with input from residents and family/whanau. There is a weekly activities calendar posted on the notice boards around the facility. A monthly calendar is emailed to family/whanau with some highlights on activities on the programme. The family/whanau are welcome to participate in activities with their family/relative.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on the schedule reflect ordinary patterns of life, were specific to the cultural needs of the residents and included community activities. Residents can participate in individual or group activities as desired. Residents below 65years have one-on-one activities planned to meet their individual needs and can join the activities on the calendar with the above 65 group if desired. Residents were observed participating in various activities on the day of the audit. The activities on the calendar included celebration of monthly themes, birthday celebrations, external entertainment, men’s outings, van outings, discovery group, bible study, bowls, garden walks, quiz, puzzles, exercises, animal therapy, library interactive sessions, arts and crafts, newspaper reading and manicure.</w:t>
            </w:r>
          </w:p>
          <w:p w:rsidR="00EB7645" w:rsidRPr="00BE00C7" w:rsidP="00BE00C7">
            <w:pPr>
              <w:pStyle w:val="OutcomeDescription"/>
              <w:spacing w:before="120" w:after="120"/>
              <w:rPr>
                <w:rFonts w:cs="Arial"/>
                <w:b w:val="0"/>
                <w:lang w:eastAsia="en-NZ"/>
              </w:rPr>
            </w:pPr>
            <w:r w:rsidRPr="00BE00C7">
              <w:rPr>
                <w:rFonts w:cs="Arial"/>
                <w:b w:val="0"/>
                <w:lang w:eastAsia="en-NZ"/>
              </w:rPr>
              <w:t>The residents’ participation in activities was recorded daily and activity needs were evaluated as part of the formal six monthly interRAI and care plan review. The satisfaction survey verified residents’ and family/whanau involvement in evaluating and improving the activities programme. The interviewed residents and family/whanau confirmed residents’ satisfaction with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and short-term care plans were evaluated by the RNs in a timely manner. Evaluations sighted were individualised and indicated the residents’ degree of response to the interventions and progress towards achieving the desired outcome. Changes were made to the care plans where the desired goal was not met. The interviewed residents and family confirmed their involvement in the evaluation of progress and resulting changes. The long-term care plans sighted were signed by residents and family or enduring power of attorney where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building warrant of fitness was current and displayed at the entrance to the facility with an expiry date of 27 April 2021.  The site had already been inspected and the provider was waiting for the new certificate to be issued.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structure of the buildings. Significant enhancements to the home have occurred. This includes new carpets and wall coverings and replacement of equipment and furnishings. All buildings, plant and equipment inspected during the audit were in good condition and showed evidence of being well maintained. There have been no incidents related to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carried out is in accordance with the agreed objectives specified in the infection control programme and is appropriate for the size and setting of the service. All identified infections were documented, monthly data was collated and analysed. Recommendations and corrective actions to assist with reducing and preventing infections were acted upon. Short term care plans were implemented with appropriate interventions to manage the identified infections. New infections and any required management plans were discussed at handover, to ensure early intervention occurs. Monthly surveillance results were shared with staff in staff meetings. Comparisons against previous months were conducted and the reviewed infection statistics evidenced minimal infection rates.</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contact tracing measures were implemented. There was no infection outbreak reported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when required and demonstrated a sound understanding of the organisation’s policies, procedures and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days of audit there were no restraints in use. The register showed there had not been a restraint in use since 2019.  Four residents were using overhead bed bars and two had bed levers as enablers to assist them to sit upright in bed. These were being used voluntarily and at the resident’s request. This was confirmed by residents interviewed.</w:t>
            </w:r>
          </w:p>
          <w:p w:rsidR="00EB7645" w:rsidRPr="00BE00C7" w:rsidP="00BE00C7">
            <w:pPr>
              <w:pStyle w:val="OutcomeDescription"/>
              <w:spacing w:before="120" w:after="120"/>
              <w:rPr>
                <w:rFonts w:cs="Arial"/>
                <w:b w:val="0"/>
                <w:lang w:eastAsia="en-NZ"/>
              </w:rPr>
            </w:pPr>
            <w:r w:rsidRPr="00BE00C7">
              <w:rPr>
                <w:rFonts w:cs="Arial"/>
                <w:b w:val="0"/>
                <w:lang w:eastAsia="en-NZ"/>
              </w:rPr>
              <w:t>Restraint is only used as a last resort when all alternatives have been explored. This was clearly documented in meeting minutes, past restraint records and staff interviewed.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Wellness Enterprises Limited - Raglan Rest Home and Hospital</w:t>
    </w:r>
    <w:bookmarkEnd w:id="58"/>
    <w:r>
      <w:rPr>
        <w:rFonts w:cs="Arial"/>
        <w:sz w:val="16"/>
        <w:szCs w:val="20"/>
      </w:rPr>
      <w:tab/>
      <w:t xml:space="preserve">Date of Audit: </w:t>
    </w:r>
    <w:bookmarkStart w:id="59" w:name="AuditStartDate1"/>
    <w:r>
      <w:rPr>
        <w:rFonts w:cs="Arial"/>
        <w:sz w:val="16"/>
        <w:szCs w:val="20"/>
      </w:rPr>
      <w:t>19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