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Kapiti Retirement Trust - Sevenoaks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Kapiti Retirement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Sevenoaks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March 2021</w:t>
      </w:r>
      <w:bookmarkEnd w:id="7"/>
      <w:r w:rsidRPr="009418D4">
        <w:rPr>
          <w:rFonts w:cs="Arial"/>
        </w:rPr>
        <w:tab/>
        <w:t xml:space="preserve">End date: </w:t>
      </w:r>
      <w:bookmarkStart w:id="8" w:name="AuditEndDate"/>
      <w:r w:rsidR="00A4268A">
        <w:rPr>
          <w:rFonts w:cs="Arial"/>
        </w:rPr>
        <w:t>24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Kapiti Retirement Trust provides rest home, dementia and hospital level care for up to 60 residents. The service is operated by a community trust and managed by a chief executive officer, general manager resident wellness, and clinical team managers.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contracted service providers and a general practitioner. Two new reconfigured, end of life suites were reviewed during audit and both are noted in the report. </w:t>
      </w:r>
    </w:p>
    <w:p w:rsidRPr="00A4268A">
      <w:pPr>
        <w:spacing w:before="240" w:line="276" w:lineRule="auto"/>
        <w:rPr>
          <w:rFonts w:eastAsia="Calibri"/>
        </w:rPr>
      </w:pPr>
      <w:r w:rsidRPr="00A4268A">
        <w:rPr>
          <w:rFonts w:eastAsia="Calibri"/>
        </w:rPr>
        <w:t xml:space="preserve">Areas for improvement have been identified in relation to the recording of quality improvement data discussed at meetings and sharing this with staff members and having the residents’ menu reviewed.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Kapiti Retirement Trust.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at Kapiti Retirement Trust are provided in a manner that respects the choices, personal privacy, independence, individual needs, and dignity of residents.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goals, values and mission statement of the organisation.  Monitoring of the services provided to the Board of Trustees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electronically. Staff records are electronic with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Kapiti Retirement Trust work closely with the local Needs Assessment and Service Co-ordination Service, to ensure access to the facility is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communication sheets and electronic vital information reports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family members of residents when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an activities assistant.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either registered nurses, enrolled nurses or senior care staff, all of whom have been assessed as competent to do so.</w:t>
      </w:r>
    </w:p>
    <w:p w:rsidRPr="00A4268A" w:rsidP="00621629">
      <w:pPr>
        <w:spacing w:before="240" w:line="276" w:lineRule="auto"/>
        <w:rPr>
          <w:rFonts w:eastAsia="Calibri"/>
        </w:rPr>
      </w:pPr>
      <w:r w:rsidRPr="00A4268A">
        <w:rPr>
          <w:rFonts w:eastAsia="Calibri"/>
        </w:rPr>
        <w:t>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both on and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Eight residents were using enablers at the time of audit. Use of enablers is voluntary for the safety of residents in response to individual requests.   Nine residents had approved restraints.  A comprehensive assessment, approval and monitoring process with regular reviews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an external advisory company or Capital and Coast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27"/>
        <w:gridCol w:w="1280"/>
        <w:gridCol w:w="96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Kapiti Retirement Trust - Sevenoaks Lodge (Sevenoaks) has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reviewed in the secure unit evidenced an Enduring Power of Attorney (EPOA) in place that had been activated.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 An exception to this is when the site is complying with and managing the risks associated with Covid-19 alert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complaints process is provided to residents and families on admission and those interviewed knew how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eight complaints have been received since the beginning of 2020, and that actions taken, through to an agreed resolution, are documented and completed within the timeframes.  Action plans show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Resident Wellness (GMRW) is responsible for complaints management and follow up. Staff interviewed confirmed an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when interviewed reported being made aware of the Code and the Nationwide Health and Disability Advocacy Service (Advocacy Service) as part of the admission information provided and discussion with staff. The Code is displayed in common areas in English and te reo Māori,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during discussions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All personnel entering Sevenoaks are advised that CCTV surveillance is operating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and 15 staff at Sevenoaks at the time of audit who identified as Māori. Interviews verify staff would be able to support residents who identify as Māori to integrate their cultural values and beliefs if required. There is a current Māori health plan developed with input from cultural advisers that enables the principles of the Treaty of Waitangi to be incorporated into day-to-day practice, including the importance of whānau to Māori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family members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when interviewed stated that residents were free from any type of discrimination, harassment or exploitation and felt safe. A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and sign an agreement which includes House Rules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older persons mental health team, physiotherapist, district nurses, services for older people, psycho-geriatrician,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attend external education seminars. The wound care nurse at Sevenoaks is a member of the wound care society and attends wound care forums. Evidence is sighted of complex wounds healing with the management strategies put in place by the facility’s trained wound care nurse. Continuity of care at Sevenoaks is enhanced by at least one senior healthcare assistant being on duty in the hospital wing each shift. The senior healthcare assistant works in the same wing whenever they are on a shift and is a key contact for care staff. All residents at Sevenoaks have a key worker, who is an RN that is allocated to planning that resident’s care and is a point of contact for the resident and the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The prompt attention to the updating of care plans and implementation of short-term care plans following the GP visit; the commitment to ensuring residents are kept safe during Covid responses and the continued potential risk of exposure to Covid-19 with all persons entering the site required to sign in or scan, complete a health questionnaire, are temperature checked, and are required to use hand sanitiser. </w:t>
            </w:r>
          </w:p>
          <w:p w:rsidR="00EB7645" w:rsidRPr="00BE00C7" w:rsidP="00BE00C7">
            <w:pPr>
              <w:pStyle w:val="OutcomeDescription"/>
              <w:spacing w:before="120" w:after="120"/>
              <w:rPr>
                <w:rFonts w:cs="Arial"/>
                <w:b w:val="0"/>
                <w:lang w:eastAsia="en-NZ"/>
              </w:rPr>
            </w:pPr>
            <w:r w:rsidRPr="00BE00C7">
              <w:rPr>
                <w:rFonts w:cs="Arial"/>
                <w:b w:val="0"/>
                <w:lang w:eastAsia="en-NZ"/>
              </w:rPr>
              <w:t>In addition, Sevenoaks is committed to ensuring an individualised approach to residents’ care is provided, as evidenced by documentation, observation and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Throughout the period when visitors were unable to visit, residents were enabled to communicate with families via phone or electronic means. A weekly newsletter was sent out by management to keep all residents and their families informed of the recent Ministry of Health updates regarding Covid-19, and the impact of those requirements on the operations at Sevenoaks. A key member of the management team was onsite every day during this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can be accessed via an external interpreter service, accessed through the Department of Internal Affairs or Capital and Coast District Health Board (CCDHB) when required. Staff knew how to access these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Trust’s strategic plan is reviewed annually by the management team. The plan outlines the purpose, values, mission, scope, direction and goals of the organisation. The document describes five year objectives with associated operational plans. A sample of quarterly reports to the board of directors showed that adequate information is reported to monitor performance, including financial performance, emerging risks and issues, staff education and any significant issues relating to residents and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CEO who holds relevant qualification in management and has been in the role for 12 years. The CEO is supported by two general managers; the general manager resident wellness (GMRW) and the general manager support services (GMSS). Responsibilities and accountabilities for each of these three roles are defined in job descriptions and individual employment agreements.  The CEO confirmed knowledge of the sector, regulatory and reporting requirements and maintains currency through regular attendance at sector-based workshops, reading, membership of the New Zealand Aged Care Association (NZACA) and the Retirement Villages Association. (The Trust runs a large village which is co-located on the same site but is not part of this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GMRW is a registered nurse who maintains her practising certificate and has an MBA (achieved in 2014). She has worked in the aged care sector as a nurse and as a manager at the Ministry of Health (MOH), moving to the Trust in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Capital &amp; Coast District Health Board (C&amp;CDHB) for long term chronic health conditions (LTCH), older adults (ARRC), palliative care, a contract for five respite beds for the Wellington region, and a contract for people under 65 with MOH.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57 residents were occupying beds. Thirty-five residents were receiving hospital level care, eleven residents were receiving dementia care and eight residents were receiving respite care services. One of the respite care residents was receiving palliative care on the first day of the audit. (One additional resident was receiving respite care on a private basis. They are not included in the 57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CEO is absent, the GMRW carries out all the required duties under delegated authority.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clinical managers. In longer absences of either one, an experienced registered nurse (RN) is appointed to take responsibility for any clinical issues that may arise. At the time of the audit this arrangement was in place.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an annual resident satisfaction survey, monitoring of outcomes, clinical incidents including infections, falls, use of restraints and enablers, pressure injuries and medication errors. There is bench-marking with an external provider which provides comparison with similar aged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monthly meetings occurring. This includes the registered and enrolled (RN/EN) meeting and the Quality Committee meeting. A standard agenda is used for both and includes the opportunity to record data from quality indicators. The meetings have been held each month as scheduled with required staff members attending.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committee is made up of staff members who have responsibilities for infection control, fall reduction, pressure injury prevention, wound management, restraint and enabler use, continence and medication. </w:t>
            </w:r>
          </w:p>
          <w:p w:rsidR="00EB7645" w:rsidRPr="00BE00C7" w:rsidP="00BE00C7">
            <w:pPr>
              <w:pStyle w:val="OutcomeDescription"/>
              <w:spacing w:before="120" w:after="120"/>
              <w:rPr>
                <w:rFonts w:cs="Arial"/>
                <w:b w:val="0"/>
                <w:lang w:eastAsia="en-NZ"/>
              </w:rPr>
            </w:pPr>
            <w:r w:rsidRPr="00BE00C7">
              <w:rPr>
                <w:rFonts w:cs="Arial"/>
                <w:b w:val="0"/>
                <w:lang w:eastAsia="en-NZ"/>
              </w:rPr>
              <w:t>There were approximately bi-monthly reports presented from the infection control coordinator and approximately quarterly reports on falls data. However, very little, and often no data, is recorded in the minutes and few reports had been received from each of the other staff with responsible for other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limited record of discussions at the meetings and no record of any analysis and evaluation of what the data which is provided means. When interviewed, the clinical team managers (CTMs) and GMRW state that the data is presented and discussed, but no record has been made for the past year. They agreed that there has been little or no analysis and/or evaluation of the data overall. Areas for improvement have been identified in relation to these two criteria.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the reporting of events, hazards and receiving feedback about events they report. They are able to report incidents easily and track these through the resident management system quickly.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records include detailed notes of corrective actions being developed and implemented to address shortfalls and to assist the facility in responding to issues they have identified. A significant example since late 2019 has been their implementation of the new electronic resident management system. A number of individual quality improvements have been used to address different aspects of this rollout.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meetings are held twice a year. The exception to this was the March/April 2020 meeting which coincided with the Alert Level 4 lockdown and was cancelled. To replace this, Kapiti Retirement Trust sent weekly newsletters to families, keeping them informed of what was happening in the facility. Minutes of the meeting completed in March 2021 were reviewed and confirmed involvement, sharing of relevant information and the opportunity for questions.  Resident and family satisfaction surveys are completed annually. The most recent survey showed that overall satisfaction and wellbeing continues to be high at 94% and 91.2% over 2019 and 2020 respectively.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GMRW and the chair of the Health and Safety Committee described the processes for the identification, monitoring, review and reporting of risks and development of mitigation strategies. Both are familiar with the Health and Safety at Work Act (2015) and the requirements of the act are implemented.   A review of the hazard register and hazard reporting system confirmed that this is an effective one. The clinical managers confirmed that the hazard reporting system provides a safe environment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This is now completed in the resident management system.  A sample of incidents forms reviewed showed these were fully completed, incidents were investigated, action plans developed and actions followed-up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As noted, while event data has been collated and discussed at both the Quality Committee and the RN/EN monthly meetings, there has been a lack of overall analysis and evaluation recorded and reported to the wider staff group. (Refer criteria 1.2.3.5 and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GMRW described essential notification reporting requirements, including for pressure injuries and changes in the Board of Trustees.   There have been 11 section 31 notifications to the MOH since the previous audit. These involved an injury to a resident in 2018, a pressure injury in 2019 and two pressure injuries (acquired at the Trust) in 2020. An investigation by the Trust in 2019 into two missing fentanyl patches included them reporting this to the local Police. However, the Police did not undertake their own investigation. All notifications have been acknowledged by HealthCert team members.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11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performance monitoring after their first two months in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A comprehensive training programme was seen.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education programme to meet the requirements of the provider’s agreement with the DHB. A staff member is the internal assessor for the programme.  Staff working in the dementia care area have either completed or are enrolled in the required education. There are nine HCAs in the dementia unit and six have the completed the dementia unit standards and either Level 3 or Level 4 Health and Wellbeing. A further three new staff members have been at Kapiti Retirement Trust for less than a year with one of these staff members completing the Level 2 qualification and the remaining two staff members yet to be enrolled in a qualification. </w:t>
            </w:r>
          </w:p>
          <w:p w:rsidR="00EB7645" w:rsidRPr="00BE00C7" w:rsidP="00BE00C7">
            <w:pPr>
              <w:pStyle w:val="OutcomeDescription"/>
              <w:spacing w:before="120" w:after="120"/>
              <w:rPr>
                <w:rFonts w:cs="Arial"/>
                <w:b w:val="0"/>
                <w:lang w:eastAsia="en-NZ"/>
              </w:rPr>
            </w:pPr>
            <w:r w:rsidRPr="00BE00C7">
              <w:rPr>
                <w:rFonts w:cs="Arial"/>
                <w:b w:val="0"/>
                <w:lang w:eastAsia="en-NZ"/>
              </w:rPr>
              <w:t>There are eight trained and competent registered nurses who are maintaining their annual interRAI competency requirements and this is sufficient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seven staff members were interviewed during the audit. They were satisfied with the availability of training and support from their manager or supervisor. The resident satisfaction survey results for Care and Service delivery in 2019 and 2020 were 93.4% and 90.7% respectively.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adequate staff cover has been provided. Every effort is made to replace staff in any unplanned absence. Where this is not possible a safe process for allocation of available HCAs was noted in the rostering system.  Most staff members on duty have current first aid certificates, with only new staff members waiting to complete theirs. There is 24 hours a day, seven days a week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electronic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Sevenoaks following an assessment by the local Needs Assessment and Service Coordination (NASC) Service, that confirms the resident requires the services provided by the facility. Prospective residents and/or their families are encouraged to visit the facility prior to admission and meet with the GMRW.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Residents requiring admission to the secure unit do have an EPOA in place that has been activated, and an authorisation by a Specialist that placement of the resident in a secure unit is necessary.</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Capital and Coast District Health Board (CCDHB)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at Sevenoaks who self-administers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the Clinical Team Leader (CTL)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at Sevenoaks and meet standing order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at Sevenoaks is overseen by a Food Services Manager and the food service is provided on site by a cook. The menu was unable to be verified as being in line with recognised nutritional guidelines for older people, as it has not been reviewed by a qualified dietician since 27 July 2017. This is an area identified as requiring attention. </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The verification audit took place on 19 February 2020, by the Kapiti District Council and expires 19 August 2021.</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safe food handling training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any time of the day or night.</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(or the social worker assisting the resident)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GMRW.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Sevenoaks are initially assessed using a range of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 Wound care assessments include photographic data.</w:t>
            </w:r>
          </w:p>
          <w:p w:rsidR="00EB7645" w:rsidRPr="00BE00C7" w:rsidP="00BE00C7">
            <w:pPr>
              <w:pStyle w:val="OutcomeDescription"/>
              <w:spacing w:before="120" w:after="120"/>
              <w:rPr>
                <w:rFonts w:cs="Arial"/>
                <w:b w:val="0"/>
                <w:lang w:eastAsia="en-NZ"/>
              </w:rPr>
            </w:pPr>
            <w:r w:rsidRPr="00BE00C7">
              <w:rPr>
                <w:rFonts w:cs="Arial"/>
                <w:b w:val="0"/>
                <w:lang w:eastAsia="en-NZ"/>
              </w:rPr>
              <w:t>Files reviewed of residents in the secure unit, included a behaviour assessment.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every six months unless the resident’s condition changes. Interviews, documentation, and observation verified the RNs are familiar with requirement for reassessment of a resident using the interRAI assessment tool when a resident has increasing or changing need levels. </w:t>
              <w:br/>
              <w:br/>
              <w:t>All residents have current interRAI assessments completed by the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at Sevenoaks are electronic and those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 medical and allied health professional’s notations clearly recorded, informative and relevant. Any change in care required was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of residents in the secure unit contained a behaviour management plan, that included identified triggers. Monitoring of any events of behaviours that were challenging was sighted and this documentation was used to assist in evaluating the effectiveness of the management strategies being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to residents was consistent with their needs, goals, and the plan of care. Wound and behaviour management plans were comprehensive and included evidence of effectiveness in the management strategies. Evidence was sighted of an individualised approach to the care being provided to each resident. The attention to meeting a diverse range of resident’s individualised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verified that medical input is sought in a timely manner, that medical orders are followed, and care is of a high standard.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 of care provided and in accordance with the residents’ needs. Sevenoaks has installed twelve ceiling hoists for transferring immobile residents. A further twelve will be installed later this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at Sevenoaks and is run by the Lifestyle and Leisure Team which includes two qualified diversional therapists, two recreation coordinators and the assistance of up to 60 volunteers. The programme is provided Monday to Saturday. Activities are no longer provided on a Sunday, at the request of families and residents, however a movie is played every Sunday at 2.30pm.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cultural, religious, spiritual, and social requirements. A ‘life map’ portrait is created for each resident, and visually portrays the resident’s values and beliefs, memorable holidays, employment/skills, childhood memories, parents, siblings and other aspects of the resident’s life. This enables staff to have some knowledge of the resident’s life prior to living at Sevenoaks. Activities assessments are regularly reviewed to help formulate an activities programme that is meaningful to the residents. The resident’s activity needs are evaluated regularly and as part of the three-monthly and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plan has recently been revamped and includes the diversional therapist being present in the dementia unit six days a week, offering a programme specific to these residents. The activities assessment of each resident in the secure unit, identifies a twenty-four-hour approach that includes all aspects of the resident’s life and past routines. The programme includes van outings, walking bus, sing a long, sit dance exercises, cooking, bowls, crafts, canine friends, nail care and church services. On the first day of audit the residents in the unit were observed assisting in preparing and cooking their morning tea. Family members were also active participants.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different programme is offered for the other residents and includes exercises daily, mystery activities, cooking, men’s group, bingo, skittles, news, crafts, and van outings. This programme now focusses more on residents ‘doing’ rather than watching. Increased participation and improved dexterity of residents has been noted, though no formal evidence has been documented. Hospital residents unable to attend, have one on one sessions provided. The planned monthly activities programmes sighted matches the skills, likes, dislikes and interests identified in assessment data. Activities reflected residents’ goals, ordinary patterns of life and include normal community activities. Individual, group activities and regular events are offered. The activities programme is displayed in all common areas and in each resident’s room. A facility van and a bus enable residents to attend a range of outings and community events. Sevenoaks recently acquired a soft sand wide-wheel wheelchair, that allows the Lifestyle and Leisure Team to take residents to the beach. The chair can go in the water for residents to feel the water on their toes or can be used for walks on the beach.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meetings are twice a year. Meeting minutes, satisfaction surveys and interviews verify a high degree of satisfaction with the activities provided at Sevenoaks.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at Sevenoaks is evaluated on each shift and reported in the progress notes. If any change is noted, it is reported to the RN, and passed over to oncoming staff at handover.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three months following the GP review and every six months in conjunction with the six-monthly interRAI reassessment or as residents’ needs change. Evaluations are documented by the RN. Where progress is different from expected, the service responds by initiating changes to the plan of care. Short-term care plans are consistently reviewed for infections, pain, weight loss, medication changes or changes in medical instructions, and progress evaluated. Wound management plans were evaluated each time the dressing was changed and included photos to evidence changes.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had ongoing evaluation of the effectiveness of behavioural management strategies and monitoring of any medication changes regarding not only its effect on behaviour, but identifying any potential increased risks associated with certain medications. Evidence verified staff in the secure unit were alert to changes in residents’ status, that could be indicative of a potential problem when the resident was unable to verbalise.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cleaning products and cleaning services. They also provide relevant training for staff.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 sheets were available where chemicals are stored and staff interviewed knew what to do should any chemical spill/event occur.  There is provision and availability of protective clothing and equipment and all staff (contracted and employed)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11 November 2021)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bio-medical equipment was current as confirmed in documentation reviewed, interviews with maintenance personnel and observation of the environment.  The environment was hazard free and resident safety was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were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for visitors and staff.  These are in addition to facilities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wing has 12 bedrooms except for one wing, which has 13. Every wing has two bathrooms with a toilet and an additional 1 separate toilet. The Matai (respite) wing has 11 bedrooms, of which, two are the palliative care suites, one of which is new. These each have their own ensuite bathrooms.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all of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w:t>
            </w:r>
          </w:p>
          <w:p w:rsidR="00EB7645" w:rsidRPr="00BE00C7" w:rsidP="00BE00C7">
            <w:pPr>
              <w:pStyle w:val="OutcomeDescription"/>
              <w:spacing w:before="120" w:after="120"/>
              <w:rPr>
                <w:rFonts w:cs="Arial"/>
                <w:b w:val="0"/>
                <w:lang w:eastAsia="en-NZ"/>
              </w:rPr>
            </w:pPr>
            <w:r w:rsidRPr="00BE00C7">
              <w:rPr>
                <w:rFonts w:cs="Arial"/>
                <w:b w:val="0"/>
                <w:lang w:eastAsia="en-NZ"/>
              </w:rPr>
              <w:t>All bedrooms provide single accommodation.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wheelchairs and mobility scooters. Staff reported satisfaction with residents’ rooms, particularly those which have had already had ceiling hoists installed. Residents also reported the adequacy of bedrooms. The 2020 resident satisfaction survey results for personal rooms was 85%. Slightly lower than 90% in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palliative care suites in the Matai wing differ slightly.  One of the rooms has a couch which can be folded out to accommodate family/whanau sleeping overnight. The other has a large, comfortable armchair, which can recline. They are both decorated in a homely and comfortable way, and can be personalised when occupied. The two suites have adequate room for additional visitors, safely manoeuvring the resident on the bed or mobility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palliative care suites both have access to their own private garden area directly off the suite. There is external seating available. The GMRW discussed their desire to survey families who have utilised the palliative care suites. The Quality Committee are still working on a way to do this respectfully and compassionately. </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survey results for the general accommodation areas were 89.7% in 2019 and 90.2% in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for personal items and /off site by a contracted provider for bed linen. Family members occasionally take special items home for delicate laundering if requested.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Dedicated laundry/housekeeping staff demonstrated a sound knowledge of the laundry processes, dirty/clean flow and handling of soiled linen. Residents interviewed reported the laundry is managed well and their clothes are returned in a timely manner. The 2020 resident satisfaction survey results for cleaning and laundry services was 91%.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noted in standard 1.4.1 the cleaning team are provided by an externally contracted service. Chemicals were stored in a secure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staff monitoring and the internal audit programme. These confirmed that the cleaning and laundry services is performing well. During interview with a group of housekeeping/laundry staff they reported the ability to provide feedback on the adequacy of the external laundry service and the cleaning products. They were satisfied with this process and had been able to make changes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fire evacuation plan was approved by the New Zealand Fire Service in 2009.   A trial evacuation takes place six-monthly. The most recent being on 4th December 2020. There is also a six monthly Emergency Shutdown Tour which includes how all the water, gas and power systems are shutdown if this is needed during an emergency. This is run by the manager of the maintenance team who is a fire warden. When scheduled, the ‘tour’ is run at three different times so that as many staff members can attend as is possible. Review of 11 personnel files confirmed that all staff had attended at least one tour and fire drill in the last 12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reconfiguration of the two new end of life suites have not required any change to the fire evacuation plan. This was confirmed with the fire service during construction.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includes fire and security training.  Staff confirmed their awareness of the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National Emergency Management Agency recommendations for the region.  Water storage tanks are located around the complex and provide 30,000 litres of water. There is a generator on site. Emergency lighting is regularly tested when the generator is tested.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entire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Heating is provided by gas-fired hot water, which feeds underfloor heating throughout the facility. Rooms have natural light, opening external windows and some rooms have doors that open onto outside garden or small patio areas.  </w:t>
            </w:r>
          </w:p>
          <w:p w:rsidR="00EB7645" w:rsidRPr="00BE00C7" w:rsidP="00BE00C7">
            <w:pPr>
              <w:pStyle w:val="OutcomeDescription"/>
              <w:spacing w:before="120" w:after="120"/>
              <w:rPr>
                <w:rFonts w:cs="Arial"/>
                <w:b w:val="0"/>
                <w:lang w:eastAsia="en-NZ"/>
              </w:rPr>
            </w:pPr>
            <w:r w:rsidRPr="00BE00C7">
              <w:rPr>
                <w:rFonts w:cs="Arial"/>
                <w:b w:val="0"/>
                <w:lang w:eastAsia="en-NZ"/>
              </w:rPr>
              <w:t>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an external advisory company, the infection control team at the CCDHB and the infection control committee. The infection control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 senior Healthcare Assistant (HCA) with input from the RN is the designated infection control nurse coordinator, whose role and responsibilities are defined in a job description. There is an infection control committee at Sevenoaks that meets every three months to discuss any infection related concerns. The committee includes the infection control coordinator, CTM, kitchen manager, GMRW, RN, HCA, a cleaner and a representative from the village wellness team. The committee assists the infection control coordinator in managing any outbreaks or any IC events at Sevenoaks. Infection control matters, including surveillance results, are reported monthly to the GMRW, and tabled at the quality/risk meeting, RN meeting and the board meeting. Infection control statistics are entered into the organisations database and the database of an Australasian benchmarking organisation. The results are benchmarked with other Australasian facilities, in addition to being used internally to benchmark against previous infection data from Sevenoaks.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Signage also outlines the restrictions on entering the facility while at each alert level for the management of Covid-19.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appropriate skills, knowledge, and qualifications for the role.  The infection control coordinator has undertaken training in infection prevention and control and attended relevant study days, as verified in training records sighted. Well-established local networks with the infection control team at the CCDHB are available and expert advice from an external advisory company is available if needed.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infection control coordinator.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eye infections and an influenza-like-illness outbreak in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on how to use personal protective equipment properly is ongoing to ensure staff are trained to manage the risk of exposure to Covid-19.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and a short-term care plan is commenced.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and GMRW review all reported infections. Monthly surveillance data is collated and analysed to identify any trends, possible causative factors and required actions. Results of the surveillance programme are not shared with staff via quality and staff meetings (refer criterion 1.2.3.5). Surveillance data is entered in the organisation’s electronic infection database.  Records identify trends for the current year, and comparisons against previous years. Data is benchmarked externally with other Australasian aged care provider. Results evidence a low rate of infections at Sevenoaks.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outbreak of influenza resulted in the quarantining of Sevenoaks for two weeks in late in 2020. All residents presenting with symptoms were tested for Covid-19, at that time. </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Sevenoaks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nine residents were using restraints and eight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files reviewed, and from interviews with staff involved.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is made up of the GMRW, an administration team member, an RN who is the quality committee representative and an experienced registered nurse who has been restraint coordinator for 18 months. They are responsible for the approval of the use of restraints, maintaining the restraint and enabler register and the restraint processes. It was evident from review of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 whānau and EPOA involvement in the decision making was on file for each restraint.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restraint coordinator undertakes the initial assessment with consent from the resident’s family/whānau/EPOA. The general practitioner is involved in the decision on the safety of the use of the restraint. The assessment process identified the underlying cause, history of restraint use, cultural considerations, alternatives and associated risks.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was interviewed and described the documented process. The desired outcome is to ensure the resident’s safety and security and to minimise the use of restraint wherever possible. </w:t>
            </w:r>
          </w:p>
          <w:p w:rsidR="00EB7645" w:rsidRPr="00BE00C7" w:rsidP="00BE00C7">
            <w:pPr>
              <w:pStyle w:val="OutcomeDescription"/>
              <w:spacing w:before="120" w:after="120"/>
              <w:rPr>
                <w:rFonts w:cs="Arial"/>
                <w:b w:val="0"/>
                <w:lang w:eastAsia="en-NZ"/>
              </w:rPr>
            </w:pPr>
            <w:r w:rsidRPr="00BE00C7">
              <w:rPr>
                <w:rFonts w:cs="Arial"/>
                <w:b w:val="0"/>
                <w:lang w:eastAsia="en-NZ"/>
              </w:rPr>
              <w:t>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how alternatives to restraints are discussed with staff and family members (eg, the use of sensor mats, low beds and alternative activities</w:t>
            </w:r>
            <w:r w:rsidRPr="00BE00C7">
              <w:rPr>
                <w:rFonts w:cs="Arial"/>
                <w:b w:val="0"/>
                <w:lang w:eastAsia="en-NZ"/>
              </w:rPr>
              <w:softHyphen/>
              <w:t xml:space="preser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annual restraint approval group meeting. The register was reviewed and contained all residents currently using a restraint and enough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although not recorded in the minutes (refer Standard 1.2.3) are discussed at monthly RN/EN meetings and Quality Committee meetings.  Residents’ files confirm involvement of families in the evaluation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a six-monthly review of all restraint use which includes all the requirements of this Standard. Annual restraint meetings are held, and individual use of restraint use is reported to the quality and RN/EN meetings. (Although as noted, this has not occurred during 2020, it is in the restraint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the most recent restraint approval group meeting – March 2021 - confirmed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Any changes to policies, guidelines, education and processes are implemented if indicated. An annual internal audit also informs these meetings. Data reviewed, minutes and interviews with the GMRW and restraint coordinator confirmed that the use of one type of restraint reduced from two to one during 2020.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8"/>
        <w:gridCol w:w="1280"/>
        <w:gridCol w:w="4997"/>
        <w:gridCol w:w="2829"/>
        <w:gridCol w:w="25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monthly meetings of the Quality Committee and the RN/ENs and a standard agenda / minutes template is used. Minutes of these monthly meetings are maintained. Staff who attend both meetings report that quality improvement data from key components of service delivery are discussed during every meeting.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reviewing the minutes from each meeting they are not recording all the details which are being discussed at the meeting and a complete record of all quality improvement data is not being retained.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those staff members who are required to report on quality improvement data provide the data on the report template, and the minutes record the discussion of the data.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monthly meetings of the Quality Committee and the RNs/ENs which have a standard agenda. The agendas include the opportunity to share and discuss quality improvement from the previous month and comparison of that data. The facility benchmarks their data with an external agency which provides comparison across the aged care sector.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members and managers who attend confirm that the meetings occur and that there is discussion of data and benchmarking on a monthly basis.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the meetings have been regular, the minutes do not record any analysis and evaluation of what the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interviewed, the three clinical managers and the GMRW agreed that, during 2020 and until the audit, there has been little or no analysis and/or evaluation of the data overall.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who were interviewed reported their involvement in quality and risk management activities through the reporting of events, hazards and receiving feedback about events they report. </w:t>
            </w:r>
          </w:p>
          <w:p w:rsidR="00EB7645" w:rsidRPr="00BE00C7" w:rsidP="00BE00C7">
            <w:pPr>
              <w:pStyle w:val="OutcomeDescription"/>
              <w:spacing w:before="120" w:after="120"/>
              <w:rPr>
                <w:rFonts w:cs="Arial"/>
                <w:b w:val="0"/>
                <w:lang w:eastAsia="en-NZ"/>
              </w:rPr>
            </w:pPr>
            <w:r w:rsidRPr="00BE00C7">
              <w:rPr>
                <w:rFonts w:cs="Arial"/>
                <w:b w:val="0"/>
                <w:lang w:eastAsia="en-NZ"/>
              </w:rPr>
              <w:t>However, those staff members who don’t attend these meetings reported that they have not consistently received collated, evaluated quality improvement data.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analysis and evaluation quality improvement data occurs during the Quality Committee meeting and the RN/EN meeting as appropriate.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at Sevenoaks is overseen by a Food Services Manager and the food service is provided on site by a cook. The menu was unable to be verified as being in line with recognised nutritional guidelines for older people, as has not been reviewed by a qualified dietician since 27 July 2017.</w:t>
            </w:r>
          </w:p>
          <w:p w:rsidR="00EB7645" w:rsidRPr="00BE00C7" w:rsidP="00BE00C7">
            <w:pPr>
              <w:pStyle w:val="OutcomeDescription"/>
              <w:spacing w:before="120" w:after="120"/>
              <w:rPr>
                <w:rFonts w:cs="Arial"/>
                <w:b w:val="0"/>
                <w:lang w:eastAsia="en-NZ"/>
              </w:rPr>
            </w:pPr>
            <w:r w:rsidRPr="00BE00C7">
              <w:rPr>
                <w:rFonts w:cs="Arial"/>
                <w:b w:val="0"/>
                <w:lang w:eastAsia="en-NZ"/>
              </w:rPr>
              <w:t>An email was sighted that verifies an appointment for the dietitian to visit the site has been confirmed for early May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at Sevenoaks has not been verified within the past two years as meeting the nutritional guidelines/needs of older people.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the menu at Sevenoaks meets the nutritional guidelines for the needs of older adults.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Kapiti Retirement Trust - Sevenoaks Lodge</w:t>
    </w:r>
    <w:bookmarkEnd w:id="58"/>
    <w:r>
      <w:rPr>
        <w:rFonts w:cs="Arial"/>
        <w:sz w:val="16"/>
        <w:szCs w:val="20"/>
      </w:rPr>
      <w:tab/>
      <w:t xml:space="preserve">Date of Audit: </w:t>
    </w:r>
    <w:bookmarkStart w:id="59" w:name="AuditStartDate1"/>
    <w:r>
      <w:rPr>
        <w:rFonts w:cs="Arial"/>
        <w:sz w:val="16"/>
        <w:szCs w:val="20"/>
      </w:rPr>
      <w:t>23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