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Mary Shapley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Mary Shapley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April 2021</w:t>
      </w:r>
      <w:bookmarkEnd w:id="7"/>
      <w:r w:rsidRPr="009418D4">
        <w:rPr>
          <w:rFonts w:cs="Arial"/>
        </w:rPr>
        <w:tab/>
        <w:t xml:space="preserve">End date: </w:t>
      </w:r>
      <w:bookmarkStart w:id="8" w:name="AuditEndDate"/>
      <w:r w:rsidR="00A4268A">
        <w:rPr>
          <w:rFonts w:cs="Arial"/>
        </w:rPr>
        <w:t>28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Bupa Mary Shapley is part of the Bupa group.  The service is certified to provide rest home and hospital (geriatric and medical) care for up to 78 residents.  On the day of audit there were 69 residents.    </w:t>
      </w:r>
    </w:p>
    <w:p w:rsidRPr="00A4268A">
      <w:pPr>
        <w:spacing w:before="240" w:line="276" w:lineRule="auto"/>
        <w:rPr>
          <w:rFonts w:eastAsia="Calibri"/>
        </w:rPr>
      </w:pPr>
      <w:r w:rsidRPr="00A4268A">
        <w:rPr>
          <w:rFonts w:eastAsia="Calibri"/>
        </w:rPr>
        <w:t xml:space="preserve">This certification audit was conducted against the Health and Disability Standards and the contract with the district health board.  This audit process included the review of policies and procedures, the review of residents and staff files, observations, and interviews with residents, family, management, staff and general practitioner. </w:t>
      </w:r>
    </w:p>
    <w:p w:rsidRPr="00A4268A">
      <w:pPr>
        <w:spacing w:before="240" w:line="276" w:lineRule="auto"/>
        <w:rPr>
          <w:rFonts w:eastAsia="Calibri"/>
        </w:rPr>
      </w:pPr>
      <w:r w:rsidRPr="00A4268A">
        <w:rPr>
          <w:rFonts w:eastAsia="Calibri"/>
        </w:rPr>
        <w:t>Mary Shapley is managed by an experienced care home manager who has been in the role for eight months.  She is supported by a clinical manager, unit coordinators and a Bupa operations manager.  Family and residents interviewed spoke positively about the care and support provided.</w:t>
      </w:r>
    </w:p>
    <w:p w:rsidRPr="00A4268A">
      <w:pPr>
        <w:spacing w:before="240" w:line="276" w:lineRule="auto"/>
        <w:rPr>
          <w:rFonts w:eastAsia="Calibri"/>
        </w:rPr>
      </w:pPr>
      <w:r w:rsidRPr="00A4268A">
        <w:rPr>
          <w:rFonts w:eastAsia="Calibri"/>
        </w:rPr>
        <w:t>This certification audit identified that improvements are required in relation to the complaints process, the quality and risk management system, the timeliness of conducting staff performance appraisals, and neurological observations.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 xml:space="preserve">Bupa Mary Shapley endeavours to ensure that care is provided in a way that focuses on the individual, values residents' quality of life and maintains their privacy and choice.  Staff demonstrated an understanding of residents' rights and obligations.  Residents receive services in a manner that considers their dignity, privacy and independence.  Written information regarding consumers’ rights is provided to residents and families.  Cultural diversity is inherent and celebrated.  Evidence-based practice is evident, promoting and encouraging good practice.  There is evidence that residents and family are kept informed.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There are well-developed systems, processes, policies and procedures that are structured to provide appropriate quality care for people who live in the service.  Quality initiatives are implemented, which provide evidence of improved services for residents.</w:t>
      </w:r>
    </w:p>
    <w:p w:rsidRPr="00A4268A">
      <w:pPr>
        <w:spacing w:before="240" w:line="276" w:lineRule="auto"/>
        <w:rPr>
          <w:rFonts w:eastAsia="Calibri"/>
        </w:rPr>
      </w:pPr>
      <w:r w:rsidRPr="00A4268A">
        <w:rPr>
          <w:rFonts w:eastAsia="Calibri"/>
        </w:rPr>
        <w:t xml:space="preserve">A quality and risk management programme is established.  Interviews with staff, and review of meeting minutes demonstrated a culture of quality improvements.  Residents receive services from suitably qualified staff.  Human resources are managed in accordance with good employment practice.  An orientation programme is in place for new staff.  There is an in-service training calendar in place.  Registered nursing cover is provided 24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records reviewed, provided evidence that the registered nurses utilise the interRAI assessment to assess, plan and evaluate care needs of the residents.  Care plans are developed in consultation with the resident and/or family.  Care plans demonstrated service integration and are reviewed at least six-monthly.  Resident files included medical notes by the contracted general practitioner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medication charts are reviewed at least three-monthly by the general practitioner.</w:t>
      </w:r>
    </w:p>
    <w:p w:rsidRPr="00A4268A" w:rsidP="00621629">
      <w:pPr>
        <w:spacing w:before="240" w:line="276" w:lineRule="auto"/>
        <w:rPr>
          <w:rFonts w:eastAsia="Calibri"/>
        </w:rPr>
      </w:pPr>
      <w:r w:rsidRPr="00A4268A">
        <w:rPr>
          <w:rFonts w:eastAsia="Calibri"/>
        </w:rPr>
        <w:t xml:space="preserve">An activities programme is implemented that meets the needs of the residents.  The programme includes community visitors and outings, entertainment and activities that meet the individual recreational, physical and cognitive abilities and preferences for each consumer group.  </w:t>
      </w:r>
    </w:p>
    <w:p w:rsidRPr="00A4268A" w:rsidP="00621629">
      <w:pPr>
        <w:spacing w:before="240" w:line="276" w:lineRule="auto"/>
        <w:rPr>
          <w:rFonts w:eastAsia="Calibri"/>
        </w:rPr>
      </w:pPr>
      <w:r w:rsidRPr="00A4268A">
        <w:rPr>
          <w:rFonts w:eastAsia="Calibri"/>
        </w:rPr>
        <w:t xml:space="preserve">All food and baking are done on site.  Residents' nutritional needs are identified and documented.  Choices are available and are provided.  The organisational dietitian reviews the Bupa menu plans.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Appropriate training, information and equipment for responding to emergencies are provided.  There is an emergency management plan in place and adequate civil defence supplies in the event of an emergency.  At least one first aid trained staff member is on duty at all times, including on outings.    </w:t>
      </w:r>
    </w:p>
    <w:p w:rsidRPr="00A4268A">
      <w:pPr>
        <w:spacing w:before="240" w:line="276" w:lineRule="auto"/>
        <w:rPr>
          <w:rFonts w:eastAsia="Calibri"/>
        </w:rPr>
      </w:pPr>
      <w:r w:rsidRPr="00A4268A">
        <w:rPr>
          <w:rFonts w:eastAsia="Calibri"/>
        </w:rPr>
        <w:t xml:space="preserve">Chemicals are stored securely throughout the facility.  Staff receive training and education to ensure safe and appropriate handling of waste and hazardous substances.  The building holds a current build systems status report issued in lieu of a building warrant of fitness as one or more necessary elements of the warrant of fitness were delayed due to the Covid lockdown.  </w:t>
      </w:r>
    </w:p>
    <w:p w:rsidRPr="00A4268A">
      <w:pPr>
        <w:spacing w:before="240" w:line="276" w:lineRule="auto"/>
        <w:rPr>
          <w:rFonts w:eastAsia="Calibri"/>
        </w:rPr>
      </w:pPr>
      <w:r w:rsidRPr="00A4268A">
        <w:rPr>
          <w:rFonts w:eastAsia="Calibri"/>
        </w:rPr>
        <w:t xml:space="preserve">Electrical equipment has been tested and tagged.  All medical equipment and all hoists have been serviced and calibrated.  Residents can freely mobilise within the communal areas with safe access to the outdoors, seating and shade.  Fixtures, fittings and flooring are appropriate and toilet/shower facilities are constructed for ease of cleaning.  Cleaning and laundry services are well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A staff member trained in CPR and first aid is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At the time of audit there were no residents using restraints or enablers.  The approval process for restraint use includes ensuring the environment is appropriate and safe.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(clinical manager)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The service engages in benchmarking with other Bupa facilities.  There has been one respiratory outbreak since the previous audit which was appropriately managed.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22"/>
        <w:gridCol w:w="1280"/>
        <w:gridCol w:w="983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in English and in Māori.  Policy relating to the Code is implemented and staff can describe how the Code is incorporated in their everyday delivery of care.  Staff receive training about the Code during their induction to the service, which continues through in-service education and training.  Interviews with sixteen staff (four caregivers on the AM and PM shifts working across both wings, four staff registered nurses [RNs] two-unit coordinators/RNs [one for each of the two wings], one laundry, one kitchen manager, one cleaner, one maintenance officer, and two activities staff) confirmed their understanding of the key principles of the Code and its application to their job role and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In all nine files reviewed (five hospital and four rest home residents), residents had general consent forms signed on file.  Care staff are knowledgeable around informed consent.  Residents and relatives interviewed could describe what informed consent was and knew they had the right to choose.  There is an advance directive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files reviewed of family/enduring power of attorney (EPOA) discussion with the GP for a medically indicated not for resuscitation status.  In the files reviewed, there were appropriately signed resuscitation plans and advance directives in place.  Discussions with relatives demonstrated they are involved in the decision-making process, and in the planning of resident’s care.  Admission agreements had been signed and sighted for all the files seen.  Copies of EPOAs are on resident files where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support services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Staff receive education and training on the role of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may have visitors of their choice at any time.  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Resident/family meetings are held three-monthly.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The care home manager maintains a record of all complaints, both verbal and written, by using an electronic complaint register.  Discussions with residents and relatives confirmed they are provided with information on complaints and complaints forms.  Complaints forms are also located in a visible location at the entrance to the facility, next to a suggestions box.  Four complaints have been received in 2021 (year-to-date) and were reviewed in detail.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complaint lodged through HDC was received on 23 March 2021.  All requested information has been forwarded to HDC and an investigation is currently underway.  One complaint is open, awaiting a meeting with the complainant.  The remaining two complaints lodged in 2021 reflected acknowledgement and an investigation but were missing evidence to indicate resolution of the complaint.  </w:t>
            </w:r>
          </w:p>
          <w:p w:rsidR="00EB7645" w:rsidRPr="00BE00C7" w:rsidP="00BE00C7">
            <w:pPr>
              <w:pStyle w:val="OutcomeDescription"/>
              <w:spacing w:before="120" w:after="120"/>
              <w:rPr>
                <w:rFonts w:cs="Arial"/>
                <w:b w:val="0"/>
                <w:lang w:eastAsia="en-NZ"/>
              </w:rPr>
            </w:pPr>
            <w:r w:rsidRPr="00BE00C7">
              <w:rPr>
                <w:rFonts w:cs="Arial"/>
                <w:b w:val="0"/>
                <w:lang w:eastAsia="en-NZ"/>
              </w:rPr>
              <w:t>There was also a lack of evidence to indicate that staff are informed of complaints received via the quality and risk management system (link 1.2.3.6).</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are included in the resident information pack that is provided to new residents and their family.  This information is also available at reception.  The managers (care home manager, clinical manager) and RNs discuss aspects of the Code with residents and their family on admission.  Discussions relating to the Code are also held during the three-monthly resident/family meetings.  Interviews with eleven residents (six rest home and five hospital) and two relatives (hospital) confirmed that the residents’ rights are being upheld by the service.  Interviews with residents and family also confirmed their understanding of the Code and its application to aged residential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treated with dignity and respect, confirmed in interviews with care staff, residents and family, and during observations.  Privacy is ensured, and independence is encouraged.  Discussions with residents and relatives were positive about the service in relation to their values and beliefs being considered and met.  Residents' files and care plans identify residents preferred names.  Values and beliefs information are gathered on admission with family involvement and are integrated into the residents' care plans.  Spiritual needs are identified.  There is a policy on abuse and neglect and staff receive regular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There were three residents who identified as Māori at the time of the audit.  One Māori resident’s file reviewed indicated that their Māori values and beliefs are identified in their care plan and map of life.  One Māori resident interviewed stated that he was a kaumātua at the facility and was helping staff and residents learn te reo Māori.  He stated that he is treated with dignity and respect.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Māori consultation is available through the documented iwi links and local Māori ministers.  Care staff interviewed confirmed that they are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All residents and relatives interviewed confirmed they are involved in developing the resident’s plan of care, which includes the identification of individual values and beliefs.  All care plans reviewed included the resident’s social, spiritual, cultural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Code of conduct training is also provided through the in-service training programme.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Registered nursing staff are available 24 hours a day, seven days a week.  A general practitioner (GP) visits the facility two days a week and as needed.  The GP reviews residents identified as stable every three months, with more frequent visits for those residents whose condition is not deemed stable.  Physiotherapy services are provided four hours per week.  A podiatrist is on site every six weeks.  The service has links with the local community and encourages residents to remain independent.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new management team in place.  The care centre manager has extensive experience managing aged care facilities and the clinical manager is a registered nurse (RN) with ten years of aged care experience.  Recent improvements in the care home have included refurbishment projects throughout the facility and gardens (Mary Shapley won the Best Garden at a business Awarded by Pride Whakatane in 2019); and they have gone from having fewer than 50% of registered nurse roles filled at times in 2019 to having a full complement of registered nurses as well as employing two experienced unit coordinators.  Feedback from a recent staff survey highlighted the need to focus on staffing within Mary Shapley.  An action plan was devised to address issues such as absenteeism, recruitment and enhancement of the orientation programme by introducing a ‘buddy system’.  After residents commented that the evening meal was often cold, they purchased a scan box that has made a significant difference to the temperature of the food.  They have also established a relationship with the Western Bay of Plenty Primary Health Organisation (WBOPPHO) clinical resource nurse and receive regular input from her regarding residents with complex clinical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alert staff to their responsibility to notify family/next of kin of any accident/incident that occurs.  Evidence of communication with family/whānau is recorded on the family/whānau communication record, which is held in each resident’s file.  Accident/incident forms have a section to indicate if next of kin have been informed (or not) of an accident/incident.  Fifteen accident/incident forms reviewed identified that family are kept informed.  Relatives interviewed stated that they are kept informed when their family member’s health status changes or following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are available.  Interpreter services are used where indicated.  The information pack is available in large print and is read to residents who require assistance.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Mary Shapley is a Bupa aged residential care facility that provides care for up to 78 residents at hospital (geriatric and medical) and rest home levels of care.  Twenty-five beds are designated as dual-purpose beds.  On the day of the audit there were 69 residents: 34 rest home and 35 hospital.  All residents were under the age-related residential care contract (ARCC).</w:t>
            </w:r>
          </w:p>
          <w:p w:rsidR="00EB7645" w:rsidRPr="00BE00C7" w:rsidP="00BE00C7">
            <w:pPr>
              <w:pStyle w:val="OutcomeDescription"/>
              <w:spacing w:before="120" w:after="120"/>
              <w:rPr>
                <w:rFonts w:cs="Arial"/>
                <w:b w:val="0"/>
                <w:lang w:eastAsia="en-NZ"/>
              </w:rPr>
            </w:pPr>
            <w:r w:rsidRPr="00BE00C7">
              <w:rPr>
                <w:rFonts w:cs="Arial"/>
                <w:b w:val="0"/>
                <w:lang w:eastAsia="en-NZ"/>
              </w:rPr>
              <w:t>Annual goals for the facility have been determined, which link to the overarching Bupa strategic plan and these goals are regularly reviewed.</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has been in the role for eight months and has 30 years’ experience in aged care.  The clinical manager was appointed in February 2021 and has ten years of nursing experience in aged care including experience as a clinical manager.  Staff spoke positively about the support/direction provided by the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and clinical manager have maintained over eight hours annually of professional development activities related to managing an aged care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who is employed full time, is the second in charge with additional support provided by the Bupa operations manager.  Two-unit coordinators support the clinical role of the clinical manager in her absence.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programmes are established but not embedded into practice.  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managers and staff reflected their understanding of the quality and risk management systems but implementation of these systems is behind schedule.  The monthly monitoring and collation of quality and risk data includes (but is not limited to) resident falls, infection rates, complaints received, restraint use, pressure areas, wounds, and medication errors.  Trends and the analyses of quality and risk data are available electronically (on RiskMan) but are not being utilised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internal audit schedule was sighted for the service, with evidence of internal audits occurring as per the audit schedule and corrective actions being implemented when service shortfalls are identified and signed off when completed.  Missing is evidence of corrective actions being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satisfaction survey is completed.  The 2020 results reflect significant improvements in resident satisfaction when compared to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includes specific and measurable health and safety goals that are regularly reviewed.  The health and safety team meet two-monthly.  Staff undergo annual health and safety training which begins during their orientation.  Contractors are required to be inducted into the facility and sign a health and safety information sheet when this has been completed.  The hazard register is reviewed regularly.  </w:t>
            </w:r>
          </w:p>
          <w:p w:rsidR="00EB7645" w:rsidRPr="00BE00C7" w:rsidP="00BE00C7">
            <w:pPr>
              <w:pStyle w:val="OutcomeDescription"/>
              <w:spacing w:before="120" w:after="120"/>
              <w:rPr>
                <w:rFonts w:cs="Arial"/>
                <w:b w:val="0"/>
                <w:lang w:eastAsia="en-NZ"/>
              </w:rPr>
            </w:pPr>
            <w:r w:rsidRPr="00BE00C7">
              <w:rPr>
                <w:rFonts w:cs="Arial"/>
                <w:b w:val="0"/>
                <w:lang w:eastAsia="en-NZ"/>
              </w:rPr>
              <w:t>Strategies are implemented to reduce the number of falls.  This includes, (but is not limited to) ensuring call bells are placed within reach, the use of sensor mats, encouraging participation in activities, physiotherapy input and intentional rounding.  A recent initiative to reduce falls during handover has resulted in a positive outcome with four falls occurring during handover in March 2021 and only two in April 2021.  The care home manager is currently working on establishing a falls prevention committee.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Incident/accident data is linked to the organisation's quality and risk management programme and is used for comparative purposes.  Incidents are coded in severity.  All resident incidents logged with a high severity are immediately escalated to the Bupa head office and the regional operations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accident/incident forms were reviewed (two skin tears, thirteen falls).  Each event involving a resident reflected a clinical assessment and follow-up by a RN.  Eleven unwitnessed falls were missing consistent evidence of routine neurological observations over a 24-hour timeframe (link 1.3.6.1).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are aware of their requirement to notify relevant authorities in relation to essential notifications.  Section 31 notifications made since the last audit include pressure injuries (grade three or higher), notification of a new clinical manager and one police callout.  Public health authorities were notified for one respiratory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 place, including recruitment, selection, orientation and staff training and development.  Nine staff files reviewed (three RNs [one clinical manager, one unit coordinator, one staff RN] and six caregivers) reflected evidence of implementation of the recruitment process, signed employment contracts and signed job descriptions.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of practising certificates is maintained.  The service has an orientation programme in place that provides new staff with relevant information for safe work practice.  The orientation programme is developed specifically to worker type and includes documented competencies.  New staff are buddied with more experienced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in place that addresses all required areas.  In-services are now being provided as a full day of training which is improving staff attendance.  Staff files reviewed indicated that they have achieved a minimum of eight hours annually of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twelve RNs have completed their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A competency programme is in place with different requirements according to work type (e.g., support work, registered nurse, and cleaner).  Core competencies are completed annually, and a record of completion is maintained.  RN competencies include assessment tools, BSLs/insulin administration, CD administration, moving &amp; handling, nebuliser, oxygen administration, PEG tube care/feeds, restraint, wound management, CPR and syringe driver.</w:t>
            </w:r>
          </w:p>
          <w:p w:rsidR="00EB7645" w:rsidRPr="00BE00C7" w:rsidP="00BE00C7">
            <w:pPr>
              <w:pStyle w:val="OutcomeDescription"/>
              <w:spacing w:before="120" w:after="120"/>
              <w:rPr>
                <w:rFonts w:cs="Arial"/>
                <w:b w:val="0"/>
                <w:lang w:eastAsia="en-NZ"/>
              </w:rPr>
            </w:pPr>
            <w:r w:rsidRPr="00BE00C7">
              <w:rPr>
                <w:rFonts w:cs="Arial"/>
                <w:b w:val="0"/>
                <w:lang w:eastAsia="en-NZ"/>
              </w:rPr>
              <w:t>Annual performance appraisals are behind schedule and is an area requiring improvement.  The care home manager is aware of this and has a corrective plan in place to address this shortfall.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that determines staffing levels and skill mix for safe service delivery.  The staff roster provides sufficient and appropriate coverage for the effective delivery of care and support.  Difficulties arise when shifts cannot be filled.  Efforts are undertaken where possible to find staff to fill in, including requesting staff from nearby Bupa facilities (Te Puke, Tauranga, Rotorua) to provide cover.  Staff from Auckland have also provided cover with accommodation made available.  </w:t>
            </w:r>
          </w:p>
          <w:p w:rsidR="00EB7645" w:rsidRPr="00BE00C7" w:rsidP="00BE00C7">
            <w:pPr>
              <w:pStyle w:val="OutcomeDescription"/>
              <w:spacing w:before="120" w:after="120"/>
              <w:rPr>
                <w:rFonts w:cs="Arial"/>
                <w:b w:val="0"/>
                <w:lang w:eastAsia="en-NZ"/>
              </w:rPr>
            </w:pPr>
            <w:r w:rsidRPr="00BE00C7">
              <w:rPr>
                <w:rFonts w:cs="Arial"/>
                <w:b w:val="0"/>
                <w:lang w:eastAsia="en-NZ"/>
              </w:rPr>
              <w:t>Current staffing levels reflect a full complement of RNs.  The clinical manager/RN and care home manager (non-clinical) are rostered Monday – Friday.</w:t>
            </w:r>
          </w:p>
          <w:p w:rsidR="00EB7645" w:rsidRPr="00BE00C7" w:rsidP="00BE00C7">
            <w:pPr>
              <w:pStyle w:val="OutcomeDescription"/>
              <w:spacing w:before="120" w:after="120"/>
              <w:rPr>
                <w:rFonts w:cs="Arial"/>
                <w:b w:val="0"/>
                <w:lang w:eastAsia="en-NZ"/>
              </w:rPr>
            </w:pPr>
            <w:r w:rsidRPr="00BE00C7">
              <w:rPr>
                <w:rFonts w:cs="Arial"/>
                <w:b w:val="0"/>
                <w:lang w:eastAsia="en-NZ"/>
              </w:rPr>
              <w:t>The service is divided into two wings.  On the days of audit Wing A had 25 rest home and 11 hospital level residents.  Wing B had 10 rest home and 23 hospital level residents.</w:t>
            </w:r>
          </w:p>
          <w:p w:rsidR="00EB7645" w:rsidRPr="00BE00C7" w:rsidP="00BE00C7">
            <w:pPr>
              <w:pStyle w:val="OutcomeDescription"/>
              <w:spacing w:before="120" w:after="120"/>
              <w:rPr>
                <w:rFonts w:cs="Arial"/>
                <w:b w:val="0"/>
                <w:lang w:eastAsia="en-NZ"/>
              </w:rPr>
            </w:pPr>
            <w:r w:rsidRPr="00BE00C7">
              <w:rPr>
                <w:rFonts w:cs="Arial"/>
                <w:b w:val="0"/>
                <w:lang w:eastAsia="en-NZ"/>
              </w:rPr>
              <w:t>In addition to two-unit coordinators who work from 0800 – 1630 Monday - Friday, there are two RNs on duty (one in each of the two wings) on the morning and afternoon shifts.  One RN is on duty at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six caregivers rostered for an eight-hour shift on each wing for the AM shift.  Four caregivers are rostered for an eight-hour shift on each wing for the PM shift.  Two caregivers are rostered for the night shift (one each wing).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on-call schedule is shared with four other Bupa care facilities.  The care home manager is on call approximately once every two months for non-clinical related issues and the clinical manager will also be on call approximately once every two months after she has finished her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stated there were adequate staff on duty at all times.  Staff stated they feel supported by the RNs, clinical manager and care home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An initial support plan is also developed in this time.  Personal resident information is kept confidential and cannot be viewed by other residents or members of the public.  Residents’ files are protected from unauthorised access by being held securely.  Archived records are secure in separate locked and secure areas.  Electronic files are backed up using cloud-based technology.  Residents’ files demonstrated service integration.  Entries are legible, timed, dated and signed by the relevant caregiver or nurse,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Bupa admission policy.  All residents have a needs assessment completed prior to entry that identifies the level of care required.  The care home manager and clinical manager screen all potential enquiries to ensure the service can meet the required level of care and specific needs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information pack including all relevant aspects of the service, advocacy and health and disability information is given to residents/families/whānau at entry.  All relatives interviewed were familiar with the contents of the pack.  The admission agreement provides information on services which are excluded, and examples of how services can be accessed that are not included in the agreement.  Short-stay agreements are also available for short-stay residents; there were no short-stay residents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All appropriate documentation and communication were completed.  Transfer to the hospital and back to the facility post-discharge was well documented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available for safe medicine management that meet legislative requirements.  All clinical staff (RNs and senior caregivers) who administer medications have been assessed for competency on an annual basis.  Education around safe medication administration has been provided.  Registered nurses have completed syringe driver training.  Staff were observed to be safely administering medications.  Registered nurses and caregivers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Medications were appropriately stored in the facility medication rooms.  The medication fridge and medication room temperatures are monitored daily, and the temperatures were within acceptable ranges.  All medications including the bulk supply order is checked weekly and signed on the checklist form.  All eyedrops have been dated on opening.  Four residents were self-medicating on the day of audit and had self-medication assessments in place authorised by the GP as well as safe and secure storage in their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electronic medication charts were reviewed.  The medication charts reviewed identified that the GP had reviewed all resident medication charts three monthly.  Each drug chart has a photo identification and allergy status identified.  PRN medications have indications for use and effectiveness is documented post-administration.  There are no standing orders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 oversees the on-site kitchen, and all cooking is undertaken on site.  There is a seasonal four-week rotating menu, which is reviewed by a dietitian at organisational level.  A resident nutritional profile is developed for each resident on admission, and this is provided to the kitchen staff by registered nurses.  The kitchen is able to meet the needs of residents who require special diets, and the chef works closely with the registered nurses on duty.  Lip plates are available as required.  Supplements are provided to residents with identified weight loss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food control plan expiring September 2021.  Kitchen staff are trained in safe food handling.  Staff were observed to be wearing correct personal protective clothing.  End-cooked and serving temperatures are taken on each meal.  Chiller and freezer temperatures are taken daily and were all within the accepted ranges.  Cleaning schedules are maintained.  All foods were date labelled in the pantry, chiller and freezers.  Resident meetings, surveys and one-to-one interaction with kitchen staff in the main dining room allow the opportunity for resident feedback on the meals and food services generally.  Residents and family members interviewed indicated satisfaction with the food.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should this occur, is communicated to the potential resident or family/whānau and they are referred to the original referral agent for further information.  The reasons for declining entry would be if the service had no beds available or could not provide the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had been completed for all files reviewed within timeframes and areas triggered were addressed in care plans reviewed.  In addition, the service uses the Bupa assessment booklets and person-centred templates (My Day, My Way) for all residents.  The assessment booklet includes falls, Braden pressure area, skin, mini nutritional, continence, pain (verbalising and non-verbalising), activities and cultural assessment.  Nutritional requirements are completed on admission.  Additional risk assessment tools include behaviour and wound assessments as applicable.  The outcomes of risk assessments are reflected in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Nine resident files were reviewed across a range of conditions including (but not limited to) falls, behaviour that challenges, complex wounds, high medical needs and new admissions.  In all files reviewed the care plans were comprehensive, addressed the resident need and were integrated with other allied health services involved in resident care.  Relatives and residents interviewed all stated they were involved in the planning of resident care.  In all files reviewed there is evidence of resident and relative involvement in care planning.  Activity assessments were completed by the activities staff within three weeks of admission.  Care plans reviewed provided evidence of individualised support.  Short-term care plans are in use for short-term needs and changes in health status.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care plans for residents.  Progress notes in all files reviewed had detailed progress which reflected the interventions detailed in the long-term care plans.  When a resident's condition alters, the registered nurse initiates a review and if required, GP or specialist consultation.  Short-term care plans are documented for changes in health status.  Care plans reviewed documented sufficient detail to guide care staff in the provision of care.  A physiotherapist is employed to assess and assist residents’ mobility and transfer needs.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wound nurse specialist involvement in chronic wounds.  There were 16 ongoing wounds including skin tears, lesions and chronic ulcers.  There were no acquired pressure injuries at the time of audit.  All wounds had wound assessments, appropriate management plans and ongoing evaluations completed.</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Caregivers and RNs interviewed stated there is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sighted included (but are not limited to), vital signs, blood glucose, pain, food and fluid, turning charts, neurological observations, bowel monitoring and behaviour monitoring.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are notified of any changes to their relative’s health including (but not limited to) accident/incidents, infections, health professional visits and changes in medications.  There was documented evidence of relative contact for any changes to resident health status on the family/whānau contact form held in the residents’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two activity coordinators (one a qualified diversional therapist) who provide a seven day per week programme between them, each working alternate weekends.  There are set Bupa activities including themes and events.  A weekly activities calendar and newsletter is distributed to residents and is posted on noticeboards.  The activity coordinators catch up with each resident weekly to discuss activities for the resident.  Residents interviewed stated that they enjoyed the personal care.</w:t>
            </w:r>
          </w:p>
          <w:p w:rsidR="00EB7645" w:rsidRPr="00BE00C7" w:rsidP="00BE00C7">
            <w:pPr>
              <w:pStyle w:val="OutcomeDescription"/>
              <w:spacing w:before="120" w:after="120"/>
              <w:rPr>
                <w:rFonts w:cs="Arial"/>
                <w:b w:val="0"/>
                <w:lang w:eastAsia="en-NZ"/>
              </w:rPr>
            </w:pPr>
            <w:r w:rsidRPr="00BE00C7">
              <w:rPr>
                <w:rFonts w:cs="Arial"/>
                <w:b w:val="0"/>
                <w:lang w:eastAsia="en-NZ"/>
              </w:rPr>
              <w:t>Group activities are voluntary and developed by the activities staff.  Residents are able to participate in a range of activities that are appropriate to their cognitive and physical capabilities.  The activity team provide a range of activities such as crafts, exercises, bingo, golf, quizzes, van trips, sing-alongs, movies and pampering sessions.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visitors include entertainers, church services and pet therapy visits.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coordinators are involved in the admission process, completing the initial activities assessment, and have input in to the cultural assessment, ‘map of life’ and ‘my day my way’ adding additional information as appropriate.  An activities plan is completed within timeframes, a monthly record of attendance is maintained, and evaluations are completed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positively of the activity programme with feedback and suggestions for activities made via resident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were reviewed and evaluated by the registered nurse at least six-monthly or more frequently to reflect changes in health status, in all files sampled for those residents who had been there for six months or more.  Six monthly multi-disciplinary reviews (MDR) and meeting minutes are completed by the registered nurse with input from caregivers, the GP, the activities coordinator, resident and family members and any other relevant person involved in the care of the resident.  The GP reviews the resident at least three-monthly.  Short-term care plans are in use for acute and short-term issues.  These are evaluated at regular evaluations.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Mary Shapley facilitates access to other medical and non-medical services.  Referral to other health and disability services is evident in the sample group of resident files.  The RNs initiate referrals to nurse specialists, and allied health services.  Other specialist referrals are made by the GP.  Referrals and options for care were discussed with the family, as evidenced in medical notes.  The staff provided examples of where a resident’s condition had changed, and the resident was reassessed from rest home to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Material safety datasheets were readily accessible for staff.  Chemical bottles sighted had correct manufacturer labels.  Chemicals were stored safely throughout the facility.  Personal protective clothing was available for staff and seen to be worn by staff when carrying out their duties on the day of audit.  A spills kit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systems status report, issued in lieu of the building warrant of fitness, which expires on 10 June 2021.  A request book for repairs is maintained and signed off as repairs are completed.  There is a full-time maintenance officer who carries out the 52-week planned maintenance programme.  The checking and calibration of medical equipment including hoists, have been completed annually.  All electrical equipment has been tested and tagged.  Hot water temperatures have been tested (randomly) and recorded fortnightly with corrective actions for temperatures outside of the acceptable range.  Preferred contractors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and transferring equipment.  Residents were observed moving freely around the areas with mobility aids, where required.  There is outdoor furniture and seating with shade in place, and there is wheelchair access to all areas.  The external areas are landscaped.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interviewed stated that they have all the equipment required to provide the care documented in the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two wings.  There are showers and toilets throughout the facility.  There are adequate visitor and staff toilet facilities available.  There is a mobility bathroom with shower bed available.  Communal toilets and bathrooms have appropriate signage and shower curtains installed.  Fixtures, fittings and flooring are appropriate and toilet/shower facilities are constructed for ease of cleaning.  </w:t>
            </w:r>
          </w:p>
          <w:p w:rsidR="00EB7645" w:rsidRPr="00BE00C7" w:rsidP="00BE00C7">
            <w:pPr>
              <w:pStyle w:val="OutcomeDescription"/>
              <w:spacing w:before="120" w:after="120"/>
              <w:rPr>
                <w:rFonts w:cs="Arial"/>
                <w:b w:val="0"/>
                <w:lang w:eastAsia="en-NZ"/>
              </w:rPr>
            </w:pPr>
            <w:r w:rsidRPr="00BE00C7">
              <w:rPr>
                <w:rFonts w:cs="Arial"/>
                <w:b w:val="0"/>
                <w:lang w:eastAsia="en-NZ"/>
              </w:rPr>
              <w:t>Water temperatures are monitored, and temperatures are maintained at or below 45 degrees Celsius.  Residents interviewed reported their privacy is maintained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Residents are encouraged to personalise their bedrooms.  Staff interviewed reported that rooms have sufficient space to allow cares to take place.  Residents are encouraged to bring their own pictures, photos and furniture to personalise their room, as observed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several lounges throughout the facility and combined lounge/dining rooms.  The lounges and dining room are accessible and accommodate the equipment required for the residents.  The lounges and dining areas are large enough to cater for activities.  Residents are able to move freely through and around these areas and furniture is placed to facilitate this.  Residents were seen to be moving freely both with and without assistance throughout the audit.  Activities occur throughout the facility in addition to a dedicated activities room.  There are quiet areas if residents wish to have some quiet time or speak privately with friends or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The laundry has a dirty to clean workflow and entry and exit doors.  All linen and personal clothing is laundered on site.  The chemical provider monitors the effectiveness of the laundry process.  Cleaning trolleys are kept in designated locked cupboards when not in use.  Residents and family interviewed reported satisfaction with the cleaning and laundry service.  Internal audits also monitor the effectiveness of the cleaning and laundry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emergency/disaster management plans in place to guide staff in managing emergencies and disasters.  Emergencies, first aid and CPR are included in the mandatory in-service programme.  At least one staff member is on duty at all times with a current first aid certificate.  Fire evacuation drills take place every six months.  Smoke alarms, sprinkler system and exit signs are in place.  The service has alternative gas facilities for cooking in the event of a power failure, with a backup system for emergency lighting and battery backup.  </w:t>
            </w:r>
          </w:p>
          <w:p w:rsidR="00EB7645" w:rsidRPr="00BE00C7" w:rsidP="00BE00C7">
            <w:pPr>
              <w:pStyle w:val="OutcomeDescription"/>
              <w:spacing w:before="120" w:after="120"/>
              <w:rPr>
                <w:rFonts w:cs="Arial"/>
                <w:b w:val="0"/>
                <w:lang w:eastAsia="en-NZ"/>
              </w:rPr>
            </w:pPr>
            <w:r w:rsidRPr="00BE00C7">
              <w:rPr>
                <w:rFonts w:cs="Arial"/>
                <w:b w:val="0"/>
                <w:lang w:eastAsia="en-NZ"/>
              </w:rPr>
              <w:t>Emergency food supplies sufficient for three days are kept in the kitchen.  Extra blankets are available.  There are civil defence kits that are regularly checked.  There is water stored (water tank) to ensure a minimum of four litres per day for three days per resident.  A recent tsunami civil emergency resulted in the successful evacuation of 40 residents.</w:t>
            </w:r>
          </w:p>
          <w:p w:rsidR="00EB7645" w:rsidRPr="00BE00C7" w:rsidP="00BE00C7">
            <w:pPr>
              <w:pStyle w:val="OutcomeDescription"/>
              <w:spacing w:before="120" w:after="120"/>
              <w:rPr>
                <w:rFonts w:cs="Arial"/>
                <w:b w:val="0"/>
                <w:lang w:eastAsia="en-NZ"/>
              </w:rPr>
            </w:pPr>
            <w:r w:rsidRPr="00BE00C7">
              <w:rPr>
                <w:rFonts w:cs="Arial"/>
                <w:b w:val="0"/>
                <w:lang w:eastAsia="en-NZ"/>
              </w:rPr>
              <w:t>Call bells are evident in residents’ rooms, lounge areas and toilets/bathrooms.  Residents were sighted to have call bells within reach during the audit and this was confirmed during resident and relative interviews.  The service has a visitors’ book at reception for all visitors, including contractors, to sign in and out.  The facility is secured at night.  Access by public is limited to the main entrance.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resident rooms are appropriately heated and ventilated.  The facility has central heating that is thermostatically controlled.  All bedrooms and communal areas have at least one external window.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well-informed about infection control practises and reporting.  The infection control coordinator (clinical manager) is responsible for infection control across the facility.  The infection control committee and the Bupa governing body is responsible for the development and review of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Visitors are asked not to visit if they are unwell.  Residents are offered the influenza vaccine.  There has been one outbreak (respiratory) in 2020 which was appropriately managed and included liaison with the local DHB.  Public health authorities were notified.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education has been provided for all staff, including hand hygiene and use of PPE.  Bupa has monthly infection control teleconferences for information, education and discussion and Covid updates should matters arise in between scheduled meeting times.  All visitors are required to provide contact tracing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Bupa Mary Shapley.  The infection control committee meet as part of staff meetings and also as part of the registered nurse meetings.  The IC coordinator has completed training in infection control.  External resources and support are available through the Bupa quality &amp; risk team, external specialists, microbiologist, GP, wound nurse specialist and DHB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defines roles, responsibilities and oversight, the infection control team, training and education of staff and scope of the programme.  Policies are updated regularly and directed from head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The orientation package includes specific training around hand hygiene and standard precautions.  Annual infection control training is included in the mandatory in-services that are held for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access to the Bupa intranet with resources, guidelines best practice, education packages and group benchmarking.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education is expected to occur as part of the daily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Effective monitoring is the responsibility of the infection control coordinator.  This includes audits of the facility, hand hygiene and surveillance of infection control events and infections.  Surveillance data including trends, analysis and corrective actions/quality are discussed at staff and clinical meetings.  </w:t>
            </w:r>
          </w:p>
          <w:p w:rsidR="00EB7645" w:rsidRPr="00BE00C7" w:rsidP="00BE00C7">
            <w:pPr>
              <w:pStyle w:val="OutcomeDescription"/>
              <w:spacing w:before="120" w:after="120"/>
              <w:rPr>
                <w:rFonts w:cs="Arial"/>
                <w:b w:val="0"/>
                <w:lang w:eastAsia="en-NZ"/>
              </w:rPr>
            </w:pPr>
            <w:r w:rsidRPr="00BE00C7">
              <w:rPr>
                <w:rFonts w:cs="Arial"/>
                <w:b w:val="0"/>
                <w:lang w:eastAsia="en-NZ"/>
              </w:rPr>
              <w:t>Infections are entered into the electronic database for benchmarking.  Corrective actions are established where trends are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There are clear guidelines in the policy to determine what a restraint is and what an enabler is.  Interviews with the restraint coordinator, clinical manager and care staff confirmed their understanding of restraints and enablers.  At the time of the audit, the service had no residents using any restraints or enablers.  Staff training is provided around restraint minimisation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25"/>
        <w:gridCol w:w="1280"/>
        <w:gridCol w:w="4767"/>
        <w:gridCol w:w="4129"/>
        <w:gridCol w:w="15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complaints received in 2021 around residents’ cares were missing evidence of resolution.  One resident and family interviewed indicated that this complaint, serious in its nature, has not been resolved.  The second complaint, around resident cares, was documented as resolved but there was no indication that a final letter had been sent to the complainant.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four complaints lodged were missing documented evidence of the complainant being informed of the outcome of the complaint.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is documented evidence to support complainants are informed of the outcome of their complaint.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range of quality data is collected but is not being trended or analysed with results communicated to staff.  Internal audits are completed as per the Bupa internal audit schedule, but results that have associated corrective actions are not communicated to staff in the quality meeting minutes.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Quality data that is being collected and collated (e.g., falls, skin tears, bruising, infections) is not being trended, analysed or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(ii)  Internal audit results with associated corrective actions (if any) are not included in the quality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(iii) The two-monthly quality meeting minutes for April 2021 indicated that no complaints had been received over the preceding two months, but in fact four complaints had been received (three in February and one in March).</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quality data that is collected and collated is trended and analysed with results communicated to staff.</w:t>
            </w:r>
          </w:p>
          <w:p w:rsidR="00EB7645" w:rsidRPr="00BE00C7" w:rsidP="00BE00C7">
            <w:pPr>
              <w:pStyle w:val="OutcomeDescription"/>
              <w:spacing w:before="120" w:after="120"/>
              <w:rPr>
                <w:rFonts w:cs="Arial"/>
                <w:b w:val="0"/>
                <w:lang w:eastAsia="en-NZ"/>
              </w:rPr>
            </w:pPr>
            <w:r w:rsidRPr="00BE00C7">
              <w:rPr>
                <w:rFonts w:cs="Arial"/>
                <w:b w:val="0"/>
                <w:lang w:eastAsia="en-NZ"/>
              </w:rPr>
              <w:t>(ii) Ensure internal audit results with associated corrective actions (if any) are communicated to staff.</w:t>
            </w:r>
          </w:p>
          <w:p w:rsidR="00EB7645" w:rsidRPr="00BE00C7" w:rsidP="00BE00C7">
            <w:pPr>
              <w:pStyle w:val="OutcomeDescription"/>
              <w:spacing w:before="120" w:after="120"/>
              <w:rPr>
                <w:rFonts w:cs="Arial"/>
                <w:b w:val="0"/>
                <w:lang w:eastAsia="en-NZ"/>
              </w:rPr>
            </w:pPr>
            <w:r w:rsidRPr="00BE00C7">
              <w:rPr>
                <w:rFonts w:cs="Arial"/>
                <w:b w:val="0"/>
                <w:lang w:eastAsia="en-NZ"/>
              </w:rPr>
              <w:t>(iii) Ensure complaints received are included in the quality meeting minutes.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education and training programme is developed by the Bupa head office that addresses all required areas.  In addition to in-service training, staff complete a range of competency assessments.  </w:t>
            </w:r>
          </w:p>
          <w:p w:rsidR="00EB7645" w:rsidRPr="00BE00C7" w:rsidP="00BE00C7">
            <w:pPr>
              <w:pStyle w:val="OutcomeDescription"/>
              <w:spacing w:before="120" w:after="120"/>
              <w:rPr>
                <w:rFonts w:cs="Arial"/>
                <w:b w:val="0"/>
                <w:lang w:eastAsia="en-NZ"/>
              </w:rPr>
            </w:pPr>
            <w:r w:rsidRPr="00BE00C7">
              <w:rPr>
                <w:rFonts w:cs="Arial"/>
                <w:b w:val="0"/>
                <w:lang w:eastAsia="en-NZ"/>
              </w:rPr>
              <w:t>Evidence of annual performance appraisals were missing in a selection of staff files.  This has been identified as an area requiring improvement by the care home manager with a corrective action being implemented at the time of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annual performance appraisals were missing in all four staff files of staff who have been employed for over one year.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performance appraisals are completed annually, in line with the organisation’s policies and procedures.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clear indications, requirements and timescales related to neurological observations in Bupa policy.  Not all neurological observations were carried out and documented as per Bupa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Neurological observations were not consistently documented according to Bupa policy for eight of eleven falls which required neurological observations.  Three did not document any and five did not have full sets of observations taken.  This is a moderate finding as had been a shortfall in the last surveillance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neurological observations are documented as per Bupa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Mary Shapley Rest Home &amp; Hospital</w:t>
    </w:r>
    <w:bookmarkEnd w:id="58"/>
    <w:r>
      <w:rPr>
        <w:rFonts w:cs="Arial"/>
        <w:sz w:val="16"/>
        <w:szCs w:val="20"/>
      </w:rPr>
      <w:tab/>
      <w:t xml:space="preserve">Date of Audit: </w:t>
    </w:r>
    <w:bookmarkStart w:id="59" w:name="AuditStartDate1"/>
    <w:r>
      <w:rPr>
        <w:rFonts w:cs="Arial"/>
        <w:sz w:val="16"/>
        <w:szCs w:val="20"/>
      </w:rPr>
      <w:t>27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