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Peacehaven Resthome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Resthome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April 2021</w:t>
      </w:r>
      <w:bookmarkEnd w:id="7"/>
      <w:r w:rsidRPr="009418D4">
        <w:rPr>
          <w:rFonts w:cs="Arial"/>
        </w:rPr>
        <w:tab/>
        <w:t xml:space="preserve">End date: </w:t>
      </w:r>
      <w:bookmarkStart w:id="8" w:name="AuditEndDate"/>
      <w:r w:rsidR="00A4268A">
        <w:rPr>
          <w:rFonts w:cs="Arial"/>
        </w:rPr>
        <w:t>16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Peacehaven is part of the CHT group.  The service is certified to provide rest home and hospital (geriatric and medical) levels of care for up to 57 residents.  All beds are certified for dual-purpose.  At the time of the audit, there were 45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unit manager is a registered nurse (RN) and maintains an annual practicing certificate.  She has been in the role for five weeks.  The unit manager has many years’ experience in managing elderly care services prior to this role.  Residents and relatives interviewed spoke positively about the service provided.</w:t>
      </w:r>
    </w:p>
    <w:p w:rsidRPr="00A4268A">
      <w:pPr>
        <w:spacing w:before="240" w:line="276" w:lineRule="auto"/>
        <w:rPr>
          <w:rFonts w:eastAsia="Calibri"/>
        </w:rPr>
      </w:pPr>
      <w:r w:rsidRPr="00A4268A">
        <w:rPr>
          <w:rFonts w:eastAsia="Calibri"/>
        </w:rPr>
        <w:t>This audit did not identify any areas for improvement.  The service has been awarded two continuous improvements around; health and safety and weight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w:t>
      </w:r>
    </w:p>
    <w:p w:rsidRPr="00A4268A">
      <w:pPr>
        <w:spacing w:before="240" w:line="276" w:lineRule="auto"/>
        <w:rPr>
          <w:rFonts w:eastAsia="Calibri"/>
        </w:rPr>
      </w:pPr>
      <w:r w:rsidRPr="00A4268A">
        <w:rPr>
          <w:rFonts w:eastAsia="Calibri"/>
        </w:rPr>
        <w:t xml:space="preserve">Regular contact is maintained with families including if a resident is involved in an incident or has a change in their current health.  Families and friends are able to visit residents at times that meet their needs.  Examples of good practice were provided.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monthly reviews.  Quality and risk data is collected, analysed and discussed, and changes made as a result of trend analysis.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Ongoing education for staff is implemented and linked to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Policies and procedures are in place for essential, emergency and security services, with adequate supplies should a disaster occur.  There is always staff on duty with a current first aid certificate.  </w:t>
      </w:r>
    </w:p>
    <w:p w:rsidRPr="00A4268A">
      <w:pPr>
        <w:spacing w:before="240" w:line="276" w:lineRule="auto"/>
        <w:rPr>
          <w:rFonts w:eastAsia="Calibri"/>
        </w:rPr>
      </w:pPr>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training around restraint minimisation and the management of challenging behaviour.  The service has appropriate procedures and documents for the safe assessment, planning, monitoring and review of restraint and enablers.  A register is maintained by the restraint coordinator.  Three residents were using enablers and no residents were using restraints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resource nurse (RN) is responsible for coordinating education and training for staff.  The resource nurse has completed annual training provided by CHT head office.  There is a suite of infection control policies and guidelines to support practice.  The resource nurse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7"/>
        <w:gridCol w:w="1280"/>
        <w:gridCol w:w="93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developed by the CHT head office are being implemented that align with the requirements of the Health and Disability Commissioner’s (HDC) Code of Health and Disability Services Consumers’ Rights (the Code).  Families and residents are provided with information on admission which includes information about the Code.  Staff receive training about resident rights at orientation and as part of the in-service programme.  Interviews with three managers (one area manager, one unit manager and one clinical coordinator) and twelve staff including: four healthcare assistants (HCA), four registered nurses (RN), one cook, one housekeeper, one maintenance, one activities person) reflected their understanding of the Code with examples provided of how it is applicable to their job role and responsibilities.  Five residents (four rest home and one hospital) and four relatives (two hospital and two rest home) interviewed, confirmed that staff respect their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reviewed in seven resident files (four hospital, and three rest home)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and/or resuscitation status are signed for separately by the competent resident.  Copies of EPOA are kept on the resident’s file where required and activated where necessary.  Healthcare assistants (HCAs) and registered nurses (RN)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resident files of long-term residents have signed admission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 files included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made available at reception.  Information about complaints is also provided on admission.  Interviews with residents and families confirmed their understanding of the complaints process.  The unit manager and clinical coordinator were to describe the process around reporting complaints, which complies with requirements set forth by the Health and Disability Commissioner (HDC).</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available.  Eight complaints were registered in 2020 and two complaints have been lodged in 2021 (year-to-date).  Five complaints were reviewed in detail (three from 2020 and two from 2021).  They all reflected evidence of acknowledgement, a comprehensive investigation and communication with the complainant within the timeframes determined by HDC.  Complaints received may result in a corrective action plan (quality improvement project - such as laundry services), if opportunities for improvement are identified.  Staff are kept informed in meetings, evidenced in meeting minutes.  All complaints received have been documented as resolved to the complainant’s satisfaction, complaints are logged as ‘open’ until the service has completed all action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their right to make a complaint.  There is the opportunity to discuss aspects of the Code during the admission process.  Residents and relatives interviewed confirmed that information is provided to them about the Code.  Large print posters of the Code in English and in te reo Māori are displayed in visible locations.  An RN or member of the management team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Resident rooms are large with ample room for visitors.  Staff were observed to be respectful of residents’ privacy by knocking on doors prior to entering resident rooms.  Staff could describe definitions around abuse and neglect.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include family involvement.  Interviews with residents and family confirmed their values and beliefs are considered.  This was also evidenced in the seven residents’ files reviewed.  Caregivers interviewed could describe how they assist the residents to make choices.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Māori health plan that includes recognition of Māori values and beliefs.  Linkages are established to Māori advisory services.  Family/whānau involvement is encouraged in assessment and care planning and visiting is encouraged.  Cultural needs are assessed during the admission process and are addressed in the care plan.  There were no residents who identified as Māori at the time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Discussions with relatives confirmed that residents’ values and beliefs are considered.  Residents interviewed confirmed that staff take into account their values and beliefs.  HCAs interviewed described how they have staff who speak the same Indian dialect as one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meetings include discussions around professional boundaries and concerns as they arise.  Minutes are shared with all staff.  Managers provided guidelines and examples of mentoring for specific situations.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to meet the needs of residents requiring hospital and rest home level of care.  Staffing policies include pre-employment and the requirement to attend orientation and an ongoing in-service training plan.  The resident satisfaction survey reflects high levels of satisfaction with the services that are provided.  The CHT mystery shopper report dated February 2021 documented 100% with regard to management services.  Residents and relatives interviewed spoke very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The sample of adverse events reviewed met this requirement.  Family interviewed confirmed they are kept informed following a change of health status of their family member or an adverse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Peacehaven is part of the CHT group.  The service is certified to provide rest home and hospital (geriatric and medical) levels of care for up to 57 residents.  All beds are certified for dual-purpose.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45 residents (11 rest home level and 34 hospital level).  All residents were on the age-related residential care contract (ARRC).  The unit manager is a registered nurse (RN) and maintains an annual practicing certificate.  She has been in the role for five weeks.  The unit manager has many years’ experience in managing elderly care services prior to this role.  The clinical coordinator/RN has been in the role for five years.  The unit manager and clinical coordinator are supported by the area manager who was the unit manager at Peacehaven prior to the area manager role. </w:t>
            </w:r>
          </w:p>
          <w:p w:rsidR="00EB7645" w:rsidRPr="00BE00C7" w:rsidP="00BE00C7">
            <w:pPr>
              <w:pStyle w:val="OutcomeDescription"/>
              <w:spacing w:before="120" w:after="120"/>
              <w:rPr>
                <w:rFonts w:cs="Arial"/>
                <w:b w:val="0"/>
                <w:lang w:eastAsia="en-NZ"/>
              </w:rPr>
            </w:pPr>
            <w:r w:rsidRPr="00BE00C7">
              <w:rPr>
                <w:rFonts w:cs="Arial"/>
                <w:b w:val="0"/>
                <w:lang w:eastAsia="en-NZ"/>
              </w:rPr>
              <w:t>CHT Peacehaven has a business plan that lists performance goals for the facility that are centred on strategic themes.  The unit manager reports monthly (at a minimum) to the area manager regarding progress towards meeting goals.  The unit manager discussed the quality improvement themes she is implementing around: improving the resident experience, robust leadership, creating a place ‘where people want to come’ and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has completed a minimum of eight hours of professional development in the past 12 months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is responsible for clinical operations during the temporary absence of the care manager with additional support available from the area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advised that she and the clinical coordinator are responsible for providing oversight of the quality programme.  Interviews with the managers and staff and review of the monthly staff meetings, monthly registered nurse meetings and quarterly quality/health and safety meeting minutes confirmed that quality systems developed by CHT are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Data collected (eg, falls, skin tears, pressure injuries, infections) are analysed with trends identified.  Results are discussed in the quarterly quality/health and safety meetings and monthly RN meeting.  Minutes are posted in the staffroom for staff to read and sign.  Regular staff meetings are also held which discuss operational matters.  During the Covid-19 shutdown the unit manager emailed staff with updates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six-monthly internal audit programme is being implemented.  Areas of non-compliance identified, are actioned for improvements and reflect sign-off by the area manager when completed.  Additional audits include: monthly medication audits and health and safety checks. </w:t>
            </w:r>
          </w:p>
          <w:p w:rsidR="00EB7645" w:rsidRPr="00BE00C7" w:rsidP="00BE00C7">
            <w:pPr>
              <w:pStyle w:val="OutcomeDescription"/>
              <w:spacing w:before="120" w:after="120"/>
              <w:rPr>
                <w:rFonts w:cs="Arial"/>
                <w:b w:val="0"/>
                <w:lang w:eastAsia="en-NZ"/>
              </w:rPr>
            </w:pPr>
            <w:r w:rsidRPr="00BE00C7">
              <w:rPr>
                <w:rFonts w:cs="Arial"/>
                <w:b w:val="0"/>
                <w:lang w:eastAsia="en-NZ"/>
              </w:rPr>
              <w:t>CHT has implemented a rolling survey with different themes sent to families and residents each month to respond to.  Peacehaven has implemented this process.  Survey responses were reviewed in the staff meetings and also though the complaints process (if needed).  Collated response over a period of time documented that resident/family satisfaction is rated very highly.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health and safety management system.  There are risk management, and health and safety policies and procedures in place including accident and hazard management.  Health and safety representatives are the unit manager and clinical coordinator.  Staff complete a hazard reporting form when a hazard is identified.  Controls are in place to minimise hazards.  Hazard controls are regularly reviewed (most recent March 2021).  Contractors are orientated to health and safety processes and safety processes are very robust, resulting in a rating of continuous improvement.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or clinical coordinator investigates/signs off on all accidents and near misses.  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Analyses of incident trends occur.  There is a discussion of incidents/accidents in the quality/health and safety meetings.</w:t>
            </w:r>
          </w:p>
          <w:p w:rsidR="00EB7645" w:rsidRPr="00BE00C7" w:rsidP="00BE00C7">
            <w:pPr>
              <w:pStyle w:val="OutcomeDescription"/>
              <w:spacing w:before="120" w:after="120"/>
              <w:rPr>
                <w:rFonts w:cs="Arial"/>
                <w:b w:val="0"/>
                <w:lang w:eastAsia="en-NZ"/>
              </w:rPr>
            </w:pPr>
            <w:r w:rsidRPr="00BE00C7">
              <w:rPr>
                <w:rFonts w:cs="Arial"/>
                <w:b w:val="0"/>
                <w:lang w:eastAsia="en-NZ"/>
              </w:rPr>
              <w:t>Seventeen incident forms that were sampled, documented clinical follow-up of residents by an RN.  Neurological observations are completed when there is a suspected injury to the head.  Incident form follow-up included: ongoing review through progress notes by the RN, the use of short-term care plans and pain monitoring.  One resident stated that she felt very well looked after following a recent fall.</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unit manager confirmed her awareness of the requirement to notify relevant authorities in relation to essential notifications.  There have been no complaints involving HDC or coroner’s inquests since the previous audit.  One outbreak of suspected scabies was reported to public health and advice sought, all infection control procedures including isolation were implemented and four section 31s for grade three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cover recruitment, selection, orientation and staff training and development.  Seven staff files reviewed (two RNs, and five healthcare assistants) reflected evidence of reference checking, signed employment contracts and job descriptions, completed orientation programmes and annual performance appraisals.  The orientation programme provides new staff with relevant information for safe work practice.  Orientation is specific to the individual’s job role and responsibilities.  Orientation programmes are also completed for volunteers (sighted in two volunteers’ files).</w:t>
            </w:r>
          </w:p>
          <w:p w:rsidR="00EB7645" w:rsidRPr="00BE00C7" w:rsidP="00BE00C7">
            <w:pPr>
              <w:pStyle w:val="OutcomeDescription"/>
              <w:spacing w:before="120" w:after="120"/>
              <w:rPr>
                <w:rFonts w:cs="Arial"/>
                <w:b w:val="0"/>
                <w:lang w:eastAsia="en-NZ"/>
              </w:rPr>
            </w:pPr>
            <w:r w:rsidRPr="00BE00C7">
              <w:rPr>
                <w:rFonts w:cs="Arial"/>
                <w:b w:val="0"/>
                <w:lang w:eastAsia="en-NZ"/>
              </w:rPr>
              <w:t>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exceeds eight hours annually per staff member.  Training is primarily online with competency assessments linked to training.  A register for each training session and an individual staff member record of training was verified.  Additional training had included Covid-19 (infection control, PPE), pressure injury prevention, pain management, documentation, restraint, falls management, skin care, and moving and handling.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Six of the eight registered nurses have completed their interRAI training.  The service encourages Careerforce qualifications for staff.  There are four HCAs with level four Careerforce qualification, twelve with level three and four with level two.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The clinical coordinator is an RN that works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There is one roster and staff are allocated to each of the five wings, the roster allows for at least one HCA in each wing during the day plus assistance from ‘floating HCAs’ and the two registered nurses.  On the day of audit there were 45 residents (11 rest home and 34 at hospital level).</w:t>
            </w:r>
          </w:p>
          <w:p w:rsidR="00EB7645" w:rsidRPr="00BE00C7" w:rsidP="00BE00C7">
            <w:pPr>
              <w:pStyle w:val="OutcomeDescription"/>
              <w:spacing w:before="120" w:after="120"/>
              <w:rPr>
                <w:rFonts w:cs="Arial"/>
                <w:b w:val="0"/>
                <w:lang w:eastAsia="en-NZ"/>
              </w:rPr>
            </w:pPr>
            <w:r w:rsidRPr="00BE00C7">
              <w:rPr>
                <w:rFonts w:cs="Arial"/>
                <w:b w:val="0"/>
                <w:lang w:eastAsia="en-NZ"/>
              </w:rPr>
              <w:t>AM shift; There are two RNs and six, full shift HCAs.  There is also a short shift HCA (7 am to 12 midday).  PM shift; There are two RNs and five full shift HCAs.  Night; There is one RN and three HCAs.</w:t>
            </w:r>
          </w:p>
          <w:p w:rsidR="00EB7645" w:rsidRPr="00BE00C7" w:rsidP="00BE00C7">
            <w:pPr>
              <w:pStyle w:val="OutcomeDescription"/>
              <w:spacing w:before="120" w:after="120"/>
              <w:rPr>
                <w:rFonts w:cs="Arial"/>
                <w:b w:val="0"/>
                <w:lang w:eastAsia="en-NZ"/>
              </w:rPr>
            </w:pPr>
            <w:r w:rsidRPr="00BE00C7">
              <w:rPr>
                <w:rFonts w:cs="Arial"/>
                <w:b w:val="0"/>
                <w:lang w:eastAsia="en-NZ"/>
              </w:rPr>
              <w:t>Staff were visible and were attending to call bells in a timely manner as confirmed by all residents interviewed.  Staff interviewed stated that the staffing levels are satisfactory and that the RNs and clinical coordinator provide good support.  Residents and family members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held electronically and are protected from unauthorised access.  Entries are computerised, dated, and include the relevant care giver or nurse including their designation.  Individual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unit manager and clinical coordinator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seven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unit manager or clinical coordinator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One file reviewed was of a resident who had been transferred to hospital acutely post fall.  All appropriate documentation and communication had been completed.  Transfer to the hospital and back to the facility post-discharge, is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three residents self-medicating on the day of audit, all of whom had been assessed as competent to self-administer by the RN and GP.  The resident’s rooms were visited and confirmation that the medications were stored securely obtained.  All legal requirements had been met.  There are no standing orders in use.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RNs and senior medication competent healthcare assistants administer medications.  Staff have up to date medication competencies and there has been medication education in the last year.  Registered nurses have syringe driver training completed by the hospice.  The medication fridges and room temperatures are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and laundry services are outsourced to a contractor.  The kitchen unit manager oversees the procurement of the food and management of the kitchen.  All meals are cooked on site.  The kitchen was observed to be clean and well organised and a current approved food control plan was in evidence, expiring May 2021.  Special equipment such as lipped plates is available.  On the day of audit, meals were observed to be well presented, these included morning and afternoon teas which were served on age-appropriate china tea sets.</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including requirements for those residents on the REAP programme.  The four-weekly seasonal menu cycle is written and approved by an external dietitian.  All resident/families interviewed are happy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resident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Initial interRAI assessments and reviews were evident in all resident files sampled.</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reviewed were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podiatrist, wound care specialist and mental health care team for older people.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the REAP weight management system implemented where weight loss was noted.  Regular weight monitoring documents over the previous fifteen months demonstrated that weight loss amongst residents had decreased, weight had stabilised, and some residents had experienced weight gain.  The kitchen staff were aware of the REAP plan and this was also documented under residents’ ‘special diets’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occurred as planned and there are also photos to show wound progress.  Wounds included; nine chronic wounds, nine skin tears, two grade 2 pressure injuries (facility acquired) and one resident with two grade 3 DHB acquired pressure injuries.  The grade 3 pressure injuries had section 31s submitted, appropriate wound care plans and specialist input.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covering Monday to Friday who plans and leads all activities.  The service is currently recruiting for an additional activity’s coordinator, so it can offer a seven day per week activities programme.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walks outside, crafts, games, quizzes, entertainers, men’s group, pet therapy, knitting group and bingo.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knitting group organised by the activity’s coordinator is well known in the area and donates knitted products regularly to local charities including the SPCA.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outings and the service utilises a contracted wheelchair accessible minibus and volunteer community transport as needed.  There are regular entertainers visiting the facility.  Special events like birthdays, Easter, Mothers’ Day and Anzac Day are celebrated.  There are visiting community groups such as cultural dance groups, churches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seven resident care plans reviewed had been evaluated by the registered nurses six-monthly or earlier if there was a change in health status.  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unit coordinator interviewed gave examples of where a resident’s condition had changed, and the resident had been reassessed for a higher or different level of care.  Discussion with the unit coordinator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May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and decked areas are well maintained.  All external areas have attractive features, including views of native bush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have an ensuite, and there are also sufficient communal toilets and showers.  Handrails are appropriately placed in ensuite bathrooms and communal showers and toilets.  There is ample space in toilet and shower areas to accommodate shower chairs and a hoist if appropriate.  Privacy is assured with the use of an ensuite.  Communal toilet/shower/bathing facilities have a system that indicates if it is engaged or vacant.  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all areas on a rotating basis,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outsourced.  There is a separate ‘dirty’ area for linen/clothing awaiting collection and a ‘clean’ area for deliveries.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3000 litres of emergency water for resident use on site.  A generator is readily available on rental through a local company.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and also give an audible alert.  Security policies and procedures are documented and implemented by staff.  The buildings are secure at night.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that this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resource nurse is an RN who is responsible for infection control across the facility as detailed in the resource nurse job description (signed copy sighted on day of audit).  The resource nurse oversees infection control for the facility, reviews incidents on the electronic resident management system and is responsible for the collation of monthly infection events and reports.  CHT head office are responsible for the development of, and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Residents are offered the influenza vaccine.  There have been no outbreaks since the last audit.  The suspected Scabies outbreak was not considered an outbreak by the public health department.  All infection control procedures, treatments and isolation precautions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CHT Peacehaven.  The resource nurse liaises with the infection control committee who meet regularly and as required (more frequently during Covid lockdown).  Information is shared as part of staff meetings and also as part of the registered nurse meetings.  The resource nurse has completed annual training in infection control.  External resources and support are available through the CHT area manager, external specialists, microbiologist, GP, wound nurse and DHB when required.  The GP monitors the use of antibiotics.  Overall effectiveness of the programme is monitored by CHT head office and subject to a monthly review meeting with the area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 CHT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resource nurse is responsible for coordinating education, and ensuring staff complete the online training available on the Altura online education system.  Training on infection control is included in the orientation programme.  Staff have completed online infection control study in the last 12 months.  The resource nurse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CHT surveillance policy.  The infection control resource nurse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quality/health and safety and infection control meetings.  Meeting minutes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(VCare) for benchmarking.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other de-escalation strategies have been ineffective.  Restraint minimisation policies and procedures are comprehensive and include definitions, processes and use of restraints and enablers.  The restraint coordinator is an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(hospital) residents using enablers and no residents with restraints. </w:t>
            </w:r>
          </w:p>
          <w:p w:rsidR="00EB7645" w:rsidRPr="00BE00C7" w:rsidP="00BE00C7">
            <w:pPr>
              <w:pStyle w:val="OutcomeDescription"/>
              <w:spacing w:before="120" w:after="120"/>
              <w:rPr>
                <w:rFonts w:cs="Arial"/>
                <w:b w:val="0"/>
                <w:lang w:eastAsia="en-NZ"/>
              </w:rPr>
            </w:pPr>
            <w:r w:rsidRPr="00BE00C7">
              <w:rPr>
                <w:rFonts w:cs="Arial"/>
                <w:b w:val="0"/>
                <w:lang w:eastAsia="en-NZ"/>
              </w:rPr>
              <w:t>One file of one resident using an enabler (bedrails) was reviewed.  Evidence of an enabler assessment and written consent by the resident was sighted.  The resident’s care plan reflects the use of an enabler and the enabler is monitored two-hourly.  Enablers are reviewed every month.</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02"/>
        <w:gridCol w:w="1280"/>
        <w:gridCol w:w="2217"/>
        <w:gridCol w:w="55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robust health and safety process lead by a group of health and safety resource staff.  The group has developed a series of processes to improve health and safety education for new staff and existing staff and ensure resident (and staff) safety.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Peacehaven has a health and safety group who meet monthly as part of the health and safety and quality meeting.  The health and safety group reviewed health and safety within the service and felt that the profile and importance of health and safety could be improved.  It was found that staff had a lack of understanding and that risks were not readily understood.  The group noted that new staff; many of whom were not from New Zealand, found the concept of health and safety difficult to understand.</w:t>
            </w:r>
          </w:p>
          <w:p w:rsidR="00EB7645" w:rsidRPr="00BE00C7" w:rsidP="00BE00C7">
            <w:pPr>
              <w:pStyle w:val="OutcomeDescription"/>
              <w:spacing w:before="120" w:after="120"/>
              <w:rPr>
                <w:rFonts w:cs="Arial"/>
                <w:b w:val="0"/>
                <w:lang w:eastAsia="en-NZ"/>
              </w:rPr>
            </w:pPr>
            <w:r w:rsidRPr="00BE00C7">
              <w:rPr>
                <w:rFonts w:cs="Arial"/>
                <w:b w:val="0"/>
                <w:lang w:eastAsia="en-NZ"/>
              </w:rPr>
              <w:t>A new orientation booklet was developed for new and existing staff.  The book is linked to a competency.  The book is written in plain English accompanied with picture, photos and other learning tools to assist the staff to understand risk and their responsibilities.  The book continued to be updated as a result of feedback from staff.  Staff interviewed all evidenced a good knowledge of health and safety, risks and reporting.</w:t>
            </w:r>
          </w:p>
          <w:p w:rsidR="00EB7645" w:rsidRPr="00BE00C7" w:rsidP="00BE00C7">
            <w:pPr>
              <w:pStyle w:val="OutcomeDescription"/>
              <w:spacing w:before="120" w:after="120"/>
              <w:rPr>
                <w:rFonts w:cs="Arial"/>
                <w:b w:val="0"/>
                <w:lang w:eastAsia="en-NZ"/>
              </w:rPr>
            </w:pPr>
            <w:r w:rsidRPr="00BE00C7">
              <w:rPr>
                <w:rFonts w:cs="Arial"/>
                <w:b w:val="0"/>
                <w:lang w:eastAsia="en-NZ"/>
              </w:rPr>
              <w:t>Monthly health and safety audits are documented, and issues raised are discussed at meetings.  Health and safety reviews and monthly audits link directly to the services Covid response ensuring good linkages between health and safety, infection control and staff knowledge of Covid.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Unintended weight loss has reduced over the past fifteen months immediately preceding this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are used to identify areas that require improvement.  Clinical indicator data has individual reference ranges for acceptable limits.  Resident weights are monitored monthly with strategies implemented to reduce weight loss including: highlighting residents at risk of unintended weight loss; providing replenish energy and protein (REAP) programme training for staff; and providing a fortified food offering, allowing a higher protein and calorie content without the resident having to consume larger quantities of food and having a multidisciplinary approach to the issue which includes dietitian assessments for those residents at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were knowledgeable regarding preventing weight loss and those residents who were at risk.  The REAP programme has been reviewed monthly and is regularly discussed at relevant meetings.  Over the last 15 months (January 2020 – March 2021), of twenty residents with unintended weight loss commenced on REAP, nine had ceased to lose weight and had stabilised, seven had weight gain and four had weight loss.  The four residents who continued to lose weight had medical issues that directly contributed to this.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Peacehaven Resthome &amp; Hospital</w:t>
    </w:r>
    <w:bookmarkEnd w:id="58"/>
    <w:r>
      <w:rPr>
        <w:rFonts w:cs="Arial"/>
        <w:sz w:val="16"/>
        <w:szCs w:val="20"/>
      </w:rPr>
      <w:tab/>
      <w:t xml:space="preserve">Date of Audit: </w:t>
    </w:r>
    <w:bookmarkStart w:id="59" w:name="AuditStartDate1"/>
    <w:r>
      <w:rPr>
        <w:rFonts w:cs="Arial"/>
        <w:sz w:val="16"/>
        <w:szCs w:val="20"/>
      </w:rPr>
      <w:t>15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