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CHT Glynavon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CHT Glynavon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March 2021</w:t>
      </w:r>
      <w:bookmarkEnd w:id="7"/>
      <w:r w:rsidRPr="009418D4">
        <w:rPr>
          <w:rFonts w:cs="Arial"/>
        </w:rPr>
        <w:tab/>
        <w:t xml:space="preserve">End date: </w:t>
      </w:r>
      <w:bookmarkStart w:id="8" w:name="AuditEndDate"/>
      <w:r w:rsidR="00A4268A">
        <w:rPr>
          <w:rFonts w:cs="Arial"/>
        </w:rPr>
        <w:t>12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Glynavon is part of the CHT Healthcare Trust group of facilities.  The service provides care for up to 33 residents requiring two levels of care (hospital – geriatric/medical and rest home).  On the day of audit there were 30 residents.  </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unit manager is a registered nurse with significant health management experience and works full time.  She is supported by an experienced senior registered nurse and a supportive area manager.</w:t>
      </w:r>
    </w:p>
    <w:p w:rsidRPr="00A4268A">
      <w:pPr>
        <w:spacing w:before="240" w:line="276" w:lineRule="auto"/>
        <w:rPr>
          <w:rFonts w:eastAsia="Calibri"/>
        </w:rPr>
      </w:pPr>
      <w:r w:rsidRPr="00A4268A">
        <w:rPr>
          <w:rFonts w:eastAsia="Calibri"/>
        </w:rPr>
        <w:t>The residents’ and a family member spoke highly of the care and service provided at CHT Glynavon.  The service has a well-established quality system that identifies ongoing quality improvement.</w:t>
      </w:r>
    </w:p>
    <w:p w:rsidRPr="00A4268A">
      <w:pPr>
        <w:spacing w:before="240" w:line="276" w:lineRule="auto"/>
        <w:rPr>
          <w:rFonts w:eastAsia="Calibri"/>
        </w:rPr>
      </w:pPr>
      <w:r w:rsidRPr="00A4268A">
        <w:rPr>
          <w:rFonts w:eastAsia="Calibri"/>
        </w:rPr>
        <w:t xml:space="preserve">This audit identified the service continues to meet the Health and Disability Services Standards NZS8134.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has a culture of open disclosure.  Families are regularly updated of residents’ condition including any acute changes or incidents.  Complaints processes are implemented and managed in line with the Code.  Residents and a family member interviewed verified ongoing involvement with the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The unit manager is responsible for day-to-day operations.  Goals are documented for the service with evidence of regular reviews.  A quality and risk management programme is embedded into practice.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and training programme that provides staff with relevant information for safe work practices.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are developed by the registered nurses who also have responsibility for maintaining and reviewing care plans.  Care plans reviewed were individually developed with the resident, and family/whānau involvement is included where appropriate, they are evaluated six-monthly or more frequently when clinically indicated.  There is a medication management system in place that follows appropriate administration and storage practices.  Each resident is reviewed at least three-monthly by their general practitioner.  A range of individual and group activities is available and coordinated by the diversional therapist.  All meals are prepared on site.  There is a seasonal menu in place, which is reviewed by a dietitian.  Residents' food preferences are accommodated, and the residents and relatives reported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Ongoing maintenance issues are addressed.  Chemicals are stored safely throughout the facility.  There is sufficient space to allow the movement of residents around the facility using mobility aids.  The outdoor areas are safe and easily accessible.  Staff have planned and implemented strategies for emergency management.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 service had three residents assessed as requiring the use of restraint and two residents assessed as requiring an enabler.  Staff regularly receive education and training in restraint minimisation and safe practice.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There is a suite of infection control policies and guidelines to support practice.  Standardised definitions are used for the identification and classification of infection events.  Results of surveillance are acted upon, evaluated and reported to relevant personnel in a timely manner.  The infection control coordinator (RN) is responsible for coordinating education and training for staff.  The infection control coordinator has completed annual external training.  There is a suite of infection control policies and guidelines to support practice.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72"/>
        <w:gridCol w:w="1280"/>
        <w:gridCol w:w="100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unit manager manages all complaints.  There is an implemented complaints policy that describes the management of complaints process.  Complaints forms are available at reception.  Information about complaints is provided on admission in the services guide.  Interviews with six residents (four rest home and two hospital) and a relative, demonstrated their understanding of the complaints process.  Staff interviewed (two healthcare assistants, two registered nurses, the kitchen manager, the maintenance person and an activities person)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that contains details for each lodged complaint.  There were three complaints lodged in 2019 and three for 2020 with no complaint’s year to date for 2021.  All complaints had an investigation, timeframes determined by the HDC were met and corrective actions (when required) and resolutions were implemented.  Results are fed back to complainants and to staff in the staff/quality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The unit manager discussed her very proactive approach to complaints management and how she contacts families as soon as any issues arise.  Previous complaints around meal services have been addressed with a focus group that includes the chef and residents, a monthly meal survey and all meals are sampled by the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unit manager and senior registered nurse confirmed family are kept informed.  One hospital level relative stated they are notified promptly of any incidents/accidents.  Residents/relatives have the opportunity to feedback on service delivery through annual surveys and open-door communication with management.  Resident meetings encourage open discussion around the services provided.  Accident/incident forms reviewed evidenced relatives are informed of any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Glynavon is owned and operated by CHT Healthcare Trust.  The service provides rest home and hospital level care for up to 33 residents.  On the day of the audit, there were 18 rest home level and 12 hospital level residents.  All residents were on the aged residential care contract.  Five rooms are designated as rest home only and the remaining twenty-eight rooms are designated as dual purpose.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CHT has a documented philosophy of care, mission statement and overall business/strategic plan.  The unit manager’s performance plan identifies business goals for the current year.  The goals are identified as key performance areas including: communication, occupancy, resident meals, Careerforce (our people) and health and safety.  Each area has a series of tasks identified to achieve the goals.  The tasks/goals are regularly reviewed and signed off when achieved. </w:t>
            </w:r>
          </w:p>
          <w:p w:rsidR="00EB7645" w:rsidRPr="00BE00C7" w:rsidP="00BE00C7">
            <w:pPr>
              <w:pStyle w:val="OutcomeDescription"/>
              <w:spacing w:before="120" w:after="120"/>
              <w:rPr>
                <w:rFonts w:cs="Arial"/>
                <w:b w:val="0"/>
                <w:lang w:eastAsia="en-NZ"/>
              </w:rPr>
            </w:pPr>
            <w:r w:rsidRPr="00BE00C7">
              <w:rPr>
                <w:rFonts w:cs="Arial"/>
                <w:b w:val="0"/>
                <w:lang w:eastAsia="en-NZ"/>
              </w:rPr>
              <w:t>The unit manager is a registered nurse who maintains an annual practicing certificate.  She has been in a management role at this facility for the past 26 years.  The unit manager reports to an area manager on a regular basis (minimum of monthly).  She has completed in excess of eight hours of professional development over the past twelve months relating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Glynavon has a well-established and comprehensive quality and risk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implemented to provide assurance that the service is meeting accepted good practice and adhering to relevant standards - including those standards relating to the Health and Disability Services (Safety) Act 2001.  Staff (two healthcare assistants, two registered nurses, one cook, one activities person and the maintenance person) confirmed they are made aware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The unit manager, and the operations manager meet at least monthly, and a monthly report is provided to the operations manager and head office.  The report includes both business and quality information.</w:t>
            </w:r>
          </w:p>
          <w:p w:rsidR="00EB7645" w:rsidRPr="00BE00C7" w:rsidP="00BE00C7">
            <w:pPr>
              <w:pStyle w:val="OutcomeDescription"/>
              <w:spacing w:before="120" w:after="120"/>
              <w:rPr>
                <w:rFonts w:cs="Arial"/>
                <w:b w:val="0"/>
                <w:lang w:eastAsia="en-NZ"/>
              </w:rPr>
            </w:pPr>
            <w:r w:rsidRPr="00BE00C7">
              <w:rPr>
                <w:rFonts w:cs="Arial"/>
                <w:b w:val="0"/>
                <w:lang w:eastAsia="en-NZ"/>
              </w:rPr>
              <w:t>Quality data collected is collated and analysed (infections, complaints and incidents and accidents).  Quality data is regularly communicated to staff via quarterly health and safety and quality meetings and one to two monthly registered nurse meetings.  Monthly ‘round up’ information is posted up on notice boards.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programme consists of two six-monthly audits completed by the area manager.  Areas of non-compliance include corrective action plans.  Monthly cleaning audits have continued.  Data is benchmarked against other CHT facilities and is trended on a monthly basis.  Where improvements are identified, corrective action plans are put into place.  They are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 manager is responsible for health and safety education, internal audits and non-clinical accident/incident investigation.  There is a current hazard register.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The most recent resident and family survey (January 2021) documented that there was overall satisfaction with the service.  The results for activities had reduced from the previous year.  An action plan was in place and the unit manager meets with the activity staff weekly.</w:t>
            </w:r>
          </w:p>
          <w:p w:rsidR="00EB7645" w:rsidRPr="00BE00C7" w:rsidP="00BE00C7">
            <w:pPr>
              <w:pStyle w:val="OutcomeDescription"/>
              <w:spacing w:before="120" w:after="120"/>
              <w:rPr>
                <w:rFonts w:cs="Arial"/>
                <w:b w:val="0"/>
                <w:lang w:eastAsia="en-NZ"/>
              </w:rPr>
            </w:pPr>
            <w:r w:rsidRPr="00BE00C7">
              <w:rPr>
                <w:rFonts w:cs="Arial"/>
                <w:b w:val="0"/>
                <w:lang w:eastAsia="en-NZ"/>
              </w:rPr>
              <w:t>Strategies are in place to reduce the number of residents’ falls.  The RN completes a falls assessment and the Tinetti balance assessment for all residents who are at risk of falling.  In addition, all new residents and residents who have experienced a fall are assessed by a physiotherapist.  Sensor mats are used for those residents who are at risk of falling.  These residents are also encouraged to go to lounge areas during the day so that they can be closely observed.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on forms and enters them into an electronic register.  The system provides reports monthly, which are discussed at the registered nurse meetings and the three-monthly quality and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incident forms were reviewed.  All incident forms identified a timely RN assessment of the resident and corrective actions to minimise resident risk.  Neurological observations had been completed for un-witnessed falls and any known head injury.  The next of kin had been notified for all required incidents/accidents.  The healthcare assistants interviewed could discuss the incident reporting process.  The unit manager collects incident forms, investigates and reviews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unit manager confirmed that there is an awareness of the requirement to notify relevant authorities in relation to essential notifications.  Examples included two stage three pressure injuries, an incidence of registered nurse unavailability and one resident wandering away from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that include the recruitment and staff selection process.  Relevant checks are completed to validate the individual’s qualifications, experience and veracity.  Copies of current practising certificates are retained.  Five staff files (two RNs, and three HCAs) reviewed evidenced implementation of the recruitment process, employment contracts and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Staff interviewed were able to describe the orientation process and remarked that new staff were adequately orientated to the service.  Evidence of an orientation programme being completed was sighted in the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majority of training is provided via an online system, with additional training provided in the traditional format.  The online system evidences that there is 93% participation in the training.  Additional training has included Covid updates, PPE and infection control.   </w:t>
            </w:r>
          </w:p>
          <w:p w:rsidR="00EB7645" w:rsidRPr="00BE00C7" w:rsidP="00BE00C7">
            <w:pPr>
              <w:pStyle w:val="OutcomeDescription"/>
              <w:spacing w:before="120" w:after="120"/>
              <w:rPr>
                <w:rFonts w:cs="Arial"/>
                <w:b w:val="0"/>
                <w:lang w:eastAsia="en-NZ"/>
              </w:rPr>
            </w:pPr>
            <w:r w:rsidRPr="00BE00C7">
              <w:rPr>
                <w:rFonts w:cs="Arial"/>
                <w:b w:val="0"/>
                <w:lang w:eastAsia="en-NZ"/>
              </w:rPr>
              <w:t>Careerforce qualifications are encouraged with a staff member a qualified assessor.  The service reports 90% of staff have achieved level three or four.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and registered nurses are able to attend external training, including sessions provided by the local DHB.  Three of the six registered nurses employed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policy includes staff rationale and skill mix.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located on two levels with three wings on the ground level and ten beds upstairs.</w:t>
            </w:r>
          </w:p>
          <w:p w:rsidR="00EB7645" w:rsidRPr="00BE00C7" w:rsidP="00BE00C7">
            <w:pPr>
              <w:pStyle w:val="OutcomeDescription"/>
              <w:spacing w:before="120" w:after="120"/>
              <w:rPr>
                <w:rFonts w:cs="Arial"/>
                <w:b w:val="0"/>
                <w:lang w:eastAsia="en-NZ"/>
              </w:rPr>
            </w:pPr>
            <w:r w:rsidRPr="00BE00C7">
              <w:rPr>
                <w:rFonts w:cs="Arial"/>
                <w:b w:val="0"/>
                <w:lang w:eastAsia="en-NZ"/>
              </w:rPr>
              <w:t>The unit manager is on duty five days a week and available on call.  There is an RN on duty every shift and an activity person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The top floor had five rest home and five hospital residents on the day of audit.  One healthcare assistant is on duty each shift with supervision (and assistance) from the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bottom floor had seven hospital level residents and 13 rest home residents.  The AM has one full shift and one-half shift healthcare assistant and two full shifts for the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healthcare assistant is rostered each night for the service. Staff confirm the staffing level is adequate and if acuity increases extra staff are available. </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and a family member interviewed stated that there are enough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includes a medication policy and procedures that follows recognised standards and guidelines for safe medicine management.  All residents have individual electronic medication orders with photo identification and allergy status documented.  Three monthly  reviews were documented in the resident files  and medication charts.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 roll pack system for tablets and other medicines are pharmacy packaged.  All medicines are stored securely when not in use.  A verification check is completed by the RN against the resident’s medicine order when new medicines are supplied from the pharmacy.  Short-life medications (i.e., eye drops and ointments) are dated once opened.  There were four residents self-administering on the day of audit and all files demonstrated three-monthly competency assessments signed by both the RN and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competencies are updated annually, and staff attend annual education.  Registered nurses have syringe driver training completed by the hospice.  The medication fridge and room temperatures are checked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was observed administering medications and followed correct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 contract company to provide all meals.  The kitchen manager oversees the procurement of the food and management of the kitchen.  There is a well-equipped kitchen, and all meals are cooked on site.  The kitchen was observed to be very clean and well organised.  Additional high touch areas cleaning has been implemented since the Covid outbreaks.  Meals are served directly from the kitchen for the main dining room and from a mobile hot box to upstairs dining rooms.  Special equipment such as lipped plates is available.  On the day of audit, meals were observed to be well presented.  There is a kitchen manual and a range of policies and procedures to safely manage the kitchen and meal services.  Audits are implemented to monitor performance.  The food control plan has been verified and is due for renewal July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are noted on typed lists which are updated with changes.  The four-weekly seasonal menu cycle is written and approved by an external dietitian.  Resident and family’s members interviewed were happy with the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care plans reviewed included interventions that reflected the resident’s current needs.  When a residents’ condition changes the RN initiates a GP visit or specialist referral.  Residents interviewed reported their needs were being met.  One family member interviewed stated the care and support met their expectations for their relative.  There was documented evidence of relative contact for any changes to resident health status.  Registered nurses were regularly involved in resident daily care and ongoing assessments as identified in the progress notes.</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bowel management, and continence products identified for day use, night use, and other management.  Specialist continence advice is available as needed and this could be described by the RNs interviewed.  Healthcare assistants and RNs interviewed stated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The service had three wounds documented and no pressure injuries.  Wound documentation was reviewed for all three wounds.  Wound assessment and management plans were documented but a complete evaluation of the wound was not always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reported that a range of equipment was readily available as needed including hoists and manual handling equipment.  Healthcare assistants reported that equipment was made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were well utilised, and examples sighted included (but not limited to), weight and vital signs, blood glucose, pain, food and fluid, turning charts and behaviour monitoring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activity coordinators, and the service continues to provide a wide-ranging activity programme over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Group activities are provided in the large communal dining room, in seating areas and outdoors in the gardens when weather permits.  Group activities are varied to meet the needs of both higher functioning residents and those that require more assistance.  Individual activities are provided in resident’s rooms or wherever applicable.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the audit, residents were observed being actively involved with a variety of activities.  The group activities programme is developed monthly, and a copy of the programme is available in the lounge, on notice boards and in each resident room.  The group programme includes residents being involved within the community with social clubs, churches and schools.  </w:t>
            </w:r>
          </w:p>
          <w:p w:rsidR="00EB7645" w:rsidRPr="00BE00C7" w:rsidP="00BE00C7">
            <w:pPr>
              <w:pStyle w:val="OutcomeDescription"/>
              <w:spacing w:before="120" w:after="120"/>
              <w:rPr>
                <w:rFonts w:cs="Arial"/>
                <w:b w:val="0"/>
                <w:lang w:eastAsia="en-NZ"/>
              </w:rPr>
            </w:pPr>
            <w:r w:rsidRPr="00BE00C7">
              <w:rPr>
                <w:rFonts w:cs="Arial"/>
                <w:b w:val="0"/>
                <w:lang w:eastAsia="en-NZ"/>
              </w:rPr>
              <w:t>Each newly admitted resident is interviewed on or soon after admission and a social history is taken.  This information is then used to develop a diversional therapy plan, which is then reviewed six-monthly as part of the interRAI and care plan review/evaluation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all initial care plans within three weeks of admission.  Files sampled demonstrated that the long-term nursing care plan has been evaluated at least six-monthly or earlier if there was a change in health status.  There was at least a three-monthly review by the GP.  Short-term care plans reviewed were evaluated and resolved or added to the long-term care plan if the problem is ongoing, as sighted in resident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expiring 15 June 2021.  There is a maintenance person employed to address the reactive and planned maintenance programme.  All medical and electrical equipment was recently serviced and/or calibrated.  Hot water temperatures are monitored and managed within 43-45 degrees Celsius.  The facility has sufficient space for residents to mobilise using mobility aids.  Residents were observed moving freely around the areas with mobility aids where required.  External areas are well maintained.  Residents have access to safely designed external areas that have shade.  Staff stated they had sufficient equipment to safely deliver the care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Definitions of infections are in place, appropriate to the complexity of service provided.  The infection control coordinator collects the infection rates each month, identifies trends and uses the information to initiate quality activities within the facility including training needs.  The infection control coordinator provides infection control data, trends and relevant information to the quality and risk meetings, staff and registered nurse meetings.  Areas for improvement are identified; corrective actions developed and followed up.  This data is monitored and evaluated monthly at head office.  There are key performance indicators for all infection types.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were aware of infection rates.  Systems are in place that is appropriate to the size and complexity of the facility.  There have been no outbreaks.   </w:t>
            </w:r>
          </w:p>
          <w:p w:rsidR="00EB7645" w:rsidRPr="00BE00C7" w:rsidP="00BE00C7">
            <w:pPr>
              <w:pStyle w:val="OutcomeDescription"/>
              <w:spacing w:before="120" w:after="120"/>
              <w:rPr>
                <w:rFonts w:cs="Arial"/>
                <w:b w:val="0"/>
                <w:lang w:eastAsia="en-NZ"/>
              </w:rPr>
            </w:pPr>
            <w:r w:rsidRPr="00BE00C7">
              <w:rPr>
                <w:rFonts w:cs="Arial"/>
                <w:b w:val="0"/>
                <w:lang w:eastAsia="en-NZ"/>
              </w:rPr>
              <w:t>A Covid strategy and plan was available to staff on site with education and associated resources relating to hand hygiene, PPE and donning/doffing procedures.  The CHT infection control plan has been updated to reflect learning from the Covid lockdown.  The service maintains a large supply of PPE.  Covid strategies included staff training, daily temperature checking for all staff and residents and cohort nursing.  The service was closed to all visitors and additional reception staff employed to restrict visiting.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include definition of restraint and enabler that are congruent with the definition in NZS 8134.0.  A registered nurse is the designated restraint coordinator.  There were three (hospital level) residents with restraint and two (hospital level) residents with an enabler.  The restraints were bedrails, and the enablers were either bedrails and/or a lap belt.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enabler files reviewed evidenced that enabler use is voluntary.  All necessary documentation had been completed in relation to the enablers as restraints including voluntary/written consent for use by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staff records evidenced guidance has been given on restraint minimisation and safe practice (RMSP), enabler usage and prevention and/or de-escalation techniques.  Staff education on RMSP/enablers has been provided.  Restraint minimisation is regularly discussed in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CHT Glynavon</w:t>
    </w:r>
    <w:bookmarkEnd w:id="58"/>
    <w:r>
      <w:rPr>
        <w:rFonts w:cs="Arial"/>
        <w:sz w:val="16"/>
        <w:szCs w:val="20"/>
      </w:rPr>
      <w:tab/>
      <w:t xml:space="preserve">Date of Audit: </w:t>
    </w:r>
    <w:bookmarkStart w:id="59" w:name="AuditStartDate1"/>
    <w:r>
      <w:rPr>
        <w:rFonts w:cs="Arial"/>
        <w:sz w:val="16"/>
        <w:szCs w:val="20"/>
      </w:rPr>
      <w:t>11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