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The Gardens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Gardens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March 2021</w:t>
      </w:r>
      <w:bookmarkEnd w:id="7"/>
      <w:r w:rsidRPr="009418D4">
        <w:rPr>
          <w:rFonts w:cs="Arial"/>
        </w:rPr>
        <w:tab/>
        <w:t xml:space="preserve">End date: </w:t>
      </w:r>
      <w:bookmarkStart w:id="8" w:name="AuditEndDate"/>
      <w:r w:rsidR="00A4268A">
        <w:rPr>
          <w:rFonts w:cs="Arial"/>
        </w:rPr>
        <w:t>18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The Gardens Rest Home and Hospital provides rest home and hospital levels of care for up to 55 residents.  During the audit, there were 53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Bupa quality and risk management programme are well embedded at The Gardens.  Quality initiatives are implemented which provide evidence of improved services for residents.  </w:t>
      </w:r>
    </w:p>
    <w:p w:rsidRPr="00A4268A">
      <w:pPr>
        <w:spacing w:before="240" w:line="276" w:lineRule="auto"/>
        <w:rPr>
          <w:rFonts w:eastAsia="Calibri"/>
        </w:rPr>
      </w:pPr>
      <w:r w:rsidRPr="00A4268A">
        <w:rPr>
          <w:rFonts w:eastAsia="Calibri"/>
        </w:rPr>
        <w:t xml:space="preserve">The care home manager has been in the role 10 months and has extensive nursing experience in New Zealand and Australia.  She is supported by an experienced clinical manager/registered nurse and clinical coordinator. </w:t>
      </w:r>
    </w:p>
    <w:p w:rsidRPr="00A4268A">
      <w:pPr>
        <w:spacing w:before="240" w:line="276" w:lineRule="auto"/>
        <w:rPr>
          <w:rFonts w:eastAsia="Calibri"/>
        </w:rPr>
      </w:pPr>
      <w:r w:rsidRPr="00A4268A">
        <w:rPr>
          <w:rFonts w:eastAsia="Calibri"/>
        </w:rPr>
        <w:t xml:space="preserve">Residents interviewed commented positively on the services provided at The Gardens.   </w:t>
      </w:r>
    </w:p>
    <w:p w:rsidRPr="00A4268A">
      <w:pPr>
        <w:spacing w:before="240" w:line="276" w:lineRule="auto"/>
        <w:rPr>
          <w:rFonts w:eastAsia="Calibri"/>
        </w:rPr>
      </w:pPr>
      <w:r w:rsidRPr="00A4268A">
        <w:rPr>
          <w:rFonts w:eastAsia="Calibri"/>
        </w:rPr>
        <w:t xml:space="preserve">The previous finding from the certification audit around implementation of monitoring charts remains. </w:t>
      </w:r>
    </w:p>
    <w:p w:rsidRPr="00A4268A">
      <w:pPr>
        <w:spacing w:before="240" w:line="276" w:lineRule="auto"/>
        <w:rPr>
          <w:rFonts w:eastAsia="Calibri"/>
        </w:rPr>
      </w:pPr>
      <w:r w:rsidRPr="00A4268A">
        <w:rPr>
          <w:rFonts w:eastAsia="Calibri"/>
        </w:rPr>
        <w:t>There were no further improvements identified at this surveillance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relatives have the opportunity to provide feedback on the service through surveys and meetings.  There is evidence that residents and family are kept informed of resident’s health status.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day-to-day operations.  Goals are documented for the service with evidence of regular reviews.  A quality and risk management programme are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and evaluations.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Planned activities are integrated and appropriate to the rest home and hospital level residents.  The programme includes community visitors, outings, entertainment and activities that meet the individual recreational, physical, cultural and cognitive abilities and preferences.  The residents and family member interviewed confirmed satisfaction with the activities programme.  </w:t>
      </w:r>
    </w:p>
    <w:p w:rsidRPr="00A4268A" w:rsidP="00621629">
      <w:pPr>
        <w:spacing w:before="240" w:line="276" w:lineRule="auto"/>
        <w:rPr>
          <w:rFonts w:eastAsia="Calibri"/>
        </w:rPr>
      </w:pPr>
      <w:r w:rsidRPr="00A4268A">
        <w:rPr>
          <w:rFonts w:eastAsia="Calibri"/>
        </w:rPr>
        <w:t xml:space="preserve">Staff responsible for medication management have current medication competencies.  Medication policies reflect legislative requirements and guidelines.  The medicine charts reviewed met legislative prescribing requirements.     </w:t>
      </w:r>
    </w:p>
    <w:p w:rsidRPr="00A4268A" w:rsidP="00621629">
      <w:pPr>
        <w:spacing w:before="240" w:line="276" w:lineRule="auto"/>
        <w:rPr>
          <w:rFonts w:eastAsia="Calibri"/>
        </w:rPr>
      </w:pPr>
      <w:r w:rsidRPr="00A4268A">
        <w:rPr>
          <w:rFonts w:eastAsia="Calibri"/>
        </w:rPr>
        <w:t xml:space="preserve">All meals and baking are done on site.  Food, fluid, and nutritional needs of residents are provided in line with recognised nutritional guidelines and additional requirements/modified needs were being met where required.  The menu is reviewed annually by the Bupa dietitian.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There is a reactive and planned maintenance programme in place.  Communal areas are easily accessible with appropriate seating and furniture to accommodate the needs of the residents.  External areas are safe and well maintained.  Hot water temperatures are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During the audit, there was one resident using restraint and four residents voluntarily using enablers.  All appropriate documentation was in place.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coordinator/registered nurse uses the information obtained through surveillance to determine infection control activities, resources and education needs within the facility.  This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interviewed included three caregivers, one registered nurse (RN) one clinical manager and one care home manager were all knowledgeable around the complaints policy and procedure.  The complaints procedure is provided to residents and relatives at entry to the service.  A record of all complaints received is maintained by the care home manager using a hard copy and electronic complaints’ registers.  Documentation including follow-up letters and resolution demonstrates that complaints are being managed in accordance with guidelines set forth by the Health and Disability Commissioner (HDC).  The final investigation letter offers advocacy.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Complaints/compliments forms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written complaints in 2020 and three in 2021 to date.  All complaints had been acknowledged and investigated within the required timeframes.  All complaints were signed off by the care home manager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and changes to a resident health status.  Evidence of communication with family/whānau is recorded on the family/whānau communication record, which is held in each resident’s file.  Nine accident/incident forms reviewed identified family had been informed.  One hospital relative interviewed stated they are kept well informed on the residents’ health status.  Five rest home and one hospital level residents interviewed stated they were well informed during the admission process and have the opportunity to provide feedback and suggestions at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quarterly resident meetings.  Meeting minutes documented discussion on infection control, health and safety and emergency situations such as the recent earthquake.  Annual surveys provide residents and relatives an opportunity to feedback on the service.  Results and quality improvements are displayed on a central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used where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The Gardens Rest Home and Hospital provides hospital and rest home level of care for up to 55 residents.  There are 23 rest home beds and 32 dual purpose beds.  On the day of audit there were 53 residents - 30 rest home residents (including one respite care) and 23 hospital residents (including three younger persons and one under ACC funding).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overall strategic business plan that includes the Bupa vision and goals to reflect a person/family centred approach.  The Gardens have specific quality goals around RNs completing the DHB professional development recognition programme, person first – dementia second training, 10% reduction in falls and 10% reduction in pressure injuries.  Annual goals for the facility have been determined and are regularly reviewed by the care home manager with reporting to the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manager/RN has been in the role since June 2020 and has experience in clinical and management roles in Australia for the last 10 years.  She is supported by clinical manager/registered nurse (RN) who has been employed by Bupa as an RN and unit coordinator previously and has been in the current role for three years.  The care home manager and clinical manager are supported by a Bupa regional manager.  A new role within head office, Quality Partner, was introduced late 2020 to support clinical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completed orientation and attended a three-day Bupa conference via zoom in November 2020.  HealthCERT was notified of change in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Bupa regional manager.  Discussions with the managers and staff reflected staff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A document control system is in place.  Policies are regularly reviewed at head office by the relevant personnel.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injuries, wounds, and medication errors.  Data is entered into the RiskMan management system and analysed for trends and quality improvements which is discussed at facility meetings including quality management, heads of departments, health and safety, infection control, RN/EN and caregiver meetings.  Benchmarking occurs within the organisation.  There are two clinical review meetings held weekly and monthly RN meetings are documented, and all meetings document a wide range of resident related discussion and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with evidence of internal audits occurring as per the audit schedule for 2020 and 2021 to date.  Corrective actions are established for audit outcomes outside of the expected results.  A summary of findings is completed, discussed at meetings, corrective actions implemented and signed off when completed.  The service also receives an unannounced “first impressions” audit from a community marketing person.  There is an annual facility health check completed last in January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survey was conducted in October 2020.  An area was identified for improvement around the lunchtime meals.  A quality improvement plan was developed in consultation with the residents.  This included offering more variety of fruit and fillings for club sandwiches.  Trays with a variety of fillings were available at each dining table so that residents could make their own club sandwiches with fillings of their choice.  A lunchtime satisfaction survey was completed following the implementation of recommendations in February with a 100% satisfaction result.  Survey results are published on the main entrance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The health and safety committee meet three monthly and review health and safety goals, hazards, accidents and incidents.  A registered nurse with a job description is the facility health and safety representative.  Other committee members have completed stage 1 of health and safety courses and awaiting the availability of other courses.  Risk management, hazard control and emergency policies and procedures are being implemented.  Hazard identification forms and a hazard register are in place.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Falls prevention equipment includes sensor mats, hip protectors, hi-low beds and additional remote call bell for use in resident rooms.  A corrective action plan around falls reduction was developed in 2020.  Over the last nine months the falls rate has been below the organisational KPI.  An increase in falls in January 2021 was related to one frequent faller.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Nine accidents/incidents were reviewed for the month of February 2021.  Each event involving a resident reflected an immediate RN clinical assessment and Iowa pain assessment.  Post falls assessments were completed including documentation of GP and physiotherapist review as required.  Neurological observations had been completed for unwitnessed falls.  There was documented evidence of relative notification of accidents/incidents on the whānau/family contact form in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are aware of their requirement to notify relevant authorities in relation to essential notifications.  There has been one Section 31 notification in February 2021 for a community acquired unstageable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Five staff files reviewed (one clinical manager, one RN, one activities coordinator, one caregiver and one cook), provided evidence of a recruitment process, job descriptions, completed orientation programmes and performance appraisals.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Caregiving staff are awarded a level two national certificate following completion of their orientation programme.  Three caregivers interviewed stated they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is set by head office and includes learning essentials, clinical learning topics (compulsory and non-compulsory) and additional topics listed.  There is an attendance register for each training session and an individual staff member record of training.  Staff are required to complete written core competencies each year relevant to their role. Toolbox talks are provided for repeat sessions or topical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and are registered with the DHB professional development recognition programme.  Seventeen registered nurses are employed and eight have completed their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to completed New Zealand Qualification Authority (NZQA) qualifications through Careerforce.  There is a Careerforce assessor available at another regional Bupa facility.  The head cook is a service IQ assessor.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There is a care home manager/RN, a clinical manager/RN and a unit coordinator/RN for the facility rostered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 cover is provided 24 hours a day, seven days a week.  RNs are supported by sufficient numbers of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23 rest home residents in the rest home communities (23 beds) with four caregivers on the morning shift starting at 7 am with one finishing at 3 pm, one at 2 pm, one at 11 am and one at 10am.  There are three caregivers on the afternoon shift 3pm to 10 pm.  There is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32 dual purpose beds in the hospital communities (23 hospital residents and seven rest home residents) with six caregivers starting at 7 am with one finishing at 3 pm, one at 2 pm, one at 1 pm and three caregivers finishing at 11 am.  There is one caregiver on duty from 1 pm to 4 pm.  On afternoon shift there are four caregivers (3 pm -11 pm, 3 pm - 7 pm, 5 pm – 9 pm and 4 pm – 9 pm).  There are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 identified that staffing is adequate to meet the needs of residents.  Caregiver shifts can be extended to meet increased resident acuity.  Staff sickness and annual leave is covered as demonstrated on the roster.  The care home manager is currently reviewing caregiver hours around the lunchtime period to meet resident needs at mealtimes.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 and medication competent caregivers responsible for the administering of medications have completed annual medication competencies and annual medication education.  Registered nurses have completed syringe driver competency.  Medications were stored safely.  Robotic rolls are checked against the electronic medication chart and a record of reconciliation is maintained.  Any discrepancies are fed back to the supplying pharmacy.  Standing orders have been approved by the GPs annually.  Hospital stock is checked weekly for stock level and expiry dates.  There was one self-medicating rest home resident on the day of audit.  The self-medicating competency and monitoring was in place.  The medication fridge temperature and medication room temperature are recorded daily, and these were within acceptable ranges.  Eyedrops and other liquid medications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Ten medication charts reviewed (four rest home and six hospital) had photo identification and allergy status documented on the chart.  All medication charts evidenced three monthly reviews by the GP.  All ‘as required’ medication prescribed had indications for use documented by the GP.  Effectiveness of ‘as required’ medication administered was documented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The service has a four weekly summer and winter menu that has been reviewed by an organisational Bupa dietitian.  There is a cook and morning and afternoon kitchenhand on duty each day.  All kitchen staff have completed food safety training.  The head cook has catering level 3 and 4 and is a Service QI assessor.  Meals are served from the bain-maire to residents in the main dining room.  There is a second dining area where residents dine who require assistance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likes, and dislikes are known, and alternative choices offered.  The residents have a nutritional profile developed on admission and the kitchen staff receive a copy, which identifies the residents’ dietary requirements and likes and dislikes.  Special diets include gluten free, diabetic and pureed meals.  The cook (interviewed) is notified of any residents with weight loss.  Religious and cultural preferences are met.  Lip plates and specialised utensils are provided to promote and maintain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which expires 22 September 2021.  Fridge, freezer and end cooked meat temperatures are taken and recorded daily.  Perishable foods sighted in the kitchen pantry were dated and stored in sealed containers.  Inwards goods have temperatures recorded.  The dishwasher is checked regularly by the chemical supplier.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midday meal on the day of audit.  Resident meetings and surveys, along with direct input from residents, provides resident feedback on the meals and food services generally.  A quality improvement plan is in place around the midday sandwiches.  Residents interviewed were very satisfied with the improvements implemented and enjoy making their own club sandwiches with choices of fillings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visit or nursing specialist referral.  Residents interviewed reported their needs were being met.  The family member interviewed, stated the care and support met their expectations for their relative.  The family/whānau contact form viewed in resident files evidenced relatives had been contacted for any changes to resident health status including accident/incidents, infections, GP visits, medication changes and appointments.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around enabler monitoring and completion of GP instructions has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and plans were in place for the monitoring of skin conditions and a chronic wound/cellulitis which was linked to the long-term care plan.  Short-term care plans were in place for wound infections.  There were no pressure injuries on the day of audit however a repositioning chart was not in place for one hospital level resident at high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reviewed included monthly and weekly weight charts, monthly vital signs, neurological observations post unwitnessed falls, bowel records, fluid balance charts, blood pressure, behaviour charts and blood sugar levels however monitoring was not documented for one hospital resident for safety and comfort as per the care plan.  The previous finding around monitoring forms remains.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activity coordinator (interviewed) that works 37.5 hours (Monday to Friday) and one activity assistant for 30 hours per week (Monday, Tuesday, Thursday and Friday).  The activity programme is integrated rest home and hospital and there are two activity staff on four days a week to ensure activities provided meet the physical, emotional and recreational preferences and abilities of the residents.  There are four clients who attend the day care programme.  The programme is flexible, varied and interesting that includes (but not limited to); news and views, arts and craft, music and cuppa, exercises, garden walks, mini yoga, mini golf, brain games, movies, board games, knitting group, high teas, reading group and hand and nail care.  Church services are held in the weekends and there is the activity lounge set up with activities for staff, family and residents to utilise.  Community visitors include weekly musical entertainers, canine friend’s fortnightly on Sundays, family visitors with pets and senior art group weekly.  Day care children visit fortnightly for games and songs in English and te reo Māori.  There are regular van outings, scenic drives in the wheelchair access van.  The van driver has a first aid certificate and is accompanied by an activity staff member.    </w:t>
            </w:r>
          </w:p>
          <w:p w:rsidR="00EB7645" w:rsidRPr="00BE00C7" w:rsidP="00BE00C7">
            <w:pPr>
              <w:pStyle w:val="OutcomeDescription"/>
              <w:spacing w:before="120" w:after="120"/>
              <w:rPr>
                <w:rFonts w:cs="Arial"/>
                <w:b w:val="0"/>
                <w:lang w:eastAsia="en-NZ"/>
              </w:rPr>
            </w:pPr>
            <w:r w:rsidRPr="00BE00C7">
              <w:rPr>
                <w:rFonts w:cs="Arial"/>
                <w:b w:val="0"/>
                <w:lang w:eastAsia="en-NZ"/>
              </w:rPr>
              <w:t>One-on-one activities occur such as individual walks, reading and chats and nail/hand care for residents who are unable or choose not to be involved in group activities.  Father’s Day, ANZAC Day, Easter, Māori language week and other special events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people are aware of the integrated activities available should they wish to join in.  Activity assessments and one-on-one discussion identify their personal interest and hobbies and staff support them to continue visits into the community for shopping and attend other community functions.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completes an activity and cultural assessment soon after admission and develops a map of life and activity plan which is evaluated six-monthly at the MDR.  Residents have the opportunity to provide feedback on the programme at the three-monthly resident meetings and annual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 interviewed were happy with the activities programme and content.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 and care summary is evaluated at three weeks in consultation with the resident and/or family.  Long-term care plans are reviewed and evaluated by the registered nurse at least six-monthly or more frequently to reflect changes in health status.  Six monthly multi-disciplinary reviews (MDR) and meeting minutes are completed by the registered nurse with the input from caregivers, GP, and any other allied health professionals involved in the care of the resident.  Family members are invited to attend the MDT review.  The MDT review identifies if the resident goals are met or unmet.  The long-term care plan is updated following the MDR.  There are short-term care plans available to focus on acute and short-term issues.  These are evaluated regularly and either resolved or added to the long-term care plan as an ongoing problem.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18 March 2021.  There is a full-time maintenance person (interviewed) who works from Monday to Friday and is on call after-hours and on weekends.  A maintenance log is maintained for daily requests for repair.  There is a Bupa 52-week planned preventative and reactive maintenance programme in place.  The checking of medical equipment including hoists, has been completed annually.  Electrical testing and tagging have been completed annually.  The hot water temperatures are monitored monthly on a room rotation basis.  Temperatures were recorded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four communities, all connected to the large central lounge/dining area.  The corridors are wide, with handrails which promote safe mobility with the use of mobility aids and transferring equipment.  Residents were observed moving freely around the facility with mobility aids, where required.  There was outdoor furniture and seating with ramps for wheelchair access to all external areas.  The gardens were well maintained and easily accessible to all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and caregivers interviewed stated that they have sufficient equipment referred to in care plans and necessary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coordinator/RN uses the information obtained through surveillance to determine infection control activities, resources and education needs within the facility.  Infection events are entered into the RiskMan electronic register.  The infection control coordinator provides a monthly report with end of month analysis and trending.  The infection control coordinator provides infection control data, trends and relevant information to the quality risk team and clinical meetings.  Infection statistics are included for benchmarking.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general practitioners.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updates on Covid-19 restrictions and lockdown were provided by the DHB.  The DHB did a virtual walk through of the facility and checked resources available.  Staff and management received updates from their head office personnel.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regional restraint group at an organisation level reviews restraint practices.  A monthly restraint committee as part of the RN meeting is responsible for restraint review and use.  There is a documented definition of restraint and enablers, which is congruent with the definition in NZS 8134.0.  There are clear guidelines in the policy to determine what restraint is and what an enabler is.  The restraint policy includes comprehensive restraint procedures.  Discussion with the restraint coordinator (clinical manager) confirmed the service commitment to reducing restraint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 service had one hospital resident with restraint (bedrail) and four hospital residents using an enabler (two with bedrails, three with lap belts and one with a chest strap).  Two of the four residents using enablers had two enablers in place; (one resident was using a lap belt and a bedrail, the other had a lap belt and a chest strap).  All appropriate consents, documentation and monitoring was in place.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02"/>
        <w:gridCol w:w="1280"/>
        <w:gridCol w:w="6110"/>
        <w:gridCol w:w="2664"/>
        <w:gridCol w:w="17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an understanding of the assessment, monitoring and management plans.  Monitoring charts reviewed included monthly and weekly weight charts, monthly vital signs, neurological observations post unwitnessed falls, bowel records, fluid balance charts, blood pressure, behaviour charts and blood sugar levels, however monitoring forms were not in place for two hospital level residents as per the care plans.  This was addressed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hospital resident at high risk of pressure injury did not have a repositioning chart in place and (ii) another hospital resident did not have a safety and comfort monitoring form in place as per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&amp; (ii) Ensure monitoring forms are implemented as documented in care plans to monitor a resident’s skin integrity, safety and comfort.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The Gardens Rest Home and Hospital</w:t>
    </w:r>
    <w:bookmarkEnd w:id="58"/>
    <w:r>
      <w:rPr>
        <w:rFonts w:cs="Arial"/>
        <w:sz w:val="16"/>
        <w:szCs w:val="20"/>
      </w:rPr>
      <w:tab/>
      <w:t xml:space="preserve">Date of Audit: </w:t>
    </w:r>
    <w:bookmarkStart w:id="59" w:name="AuditStartDate1"/>
    <w:r>
      <w:rPr>
        <w:rFonts w:cs="Arial"/>
        <w:sz w:val="16"/>
        <w:szCs w:val="20"/>
      </w:rPr>
      <w:t>17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