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Bainlea House (2013) Limited - Bainswood on Victoria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Bainlea House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Bainswood on Victoria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2021</w:t>
      </w:r>
      <w:bookmarkEnd w:id="7"/>
      <w:r w:rsidRPr="009418D4">
        <w:rPr>
          <w:rFonts w:cs="Arial"/>
        </w:rPr>
        <w:tab/>
        <w:t xml:space="preserve">End date: </w:t>
      </w:r>
      <w:bookmarkStart w:id="8" w:name="AuditEndDate"/>
      <w:r w:rsidR="00A4268A">
        <w:rPr>
          <w:rFonts w:cs="Arial"/>
        </w:rPr>
        <w:t>5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Bainswood on Victoria is part of the Arvida Group.  The service is certified to provide rest home and hospital level care for up to 57 residents.   On the day of the audit, there were 50 residents.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relatives, management and staff.</w:t>
      </w:r>
    </w:p>
    <w:p w:rsidRPr="00A4268A">
      <w:pPr>
        <w:spacing w:before="240" w:line="276" w:lineRule="auto"/>
        <w:rPr>
          <w:rFonts w:eastAsia="Calibri"/>
        </w:rPr>
      </w:pPr>
      <w:r w:rsidRPr="00A4268A">
        <w:rPr>
          <w:rFonts w:eastAsia="Calibri"/>
        </w:rPr>
        <w:t>The facility is managed by an experienced village manager who has been in the role for six years.  She is supported by an experienced clinical manager who has been in the role since 2019.  The management team are supported by a clinical lead.  Residents and relatives interviewed were complimentary of the service and care.</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r w:rsidRPr="00A4268A">
        <w:rPr>
          <w:rFonts w:eastAsia="Calibri"/>
        </w:rPr>
        <w:t xml:space="preserve">The service has been awarded a continuous improvement rating for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Bainswood on Victoria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Bainswood on Victoria has a current business plan and quality and risk management plan that outlines goals for the year.  Meetings are held to discuss quality and risk management processes.  An internal audit programme identifies corrective actions and areas for improvement which have been implemented.  Resident/family meetings are held regularly, and residents and families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that covers services provided and the levels of care.  The registered nurses are responsible for each stage of service provision.  A registered nurse assesses and reviews residents' needs, outcomes, and goals with the resident (as appropriate) and/or family/whānau input.  Electronic resident care plans viewed demonstrated service integration and were evaluated at least six 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responsible for administration of medicines complete education and medication competencies.  The electronic medicine charts reviewed met prescribing requirements and were reviewed at least three-monthly.  </w:t>
      </w:r>
    </w:p>
    <w:p w:rsidRPr="00A4268A" w:rsidP="00621629">
      <w:pPr>
        <w:spacing w:before="240" w:line="276" w:lineRule="auto"/>
        <w:rPr>
          <w:rFonts w:eastAsia="Calibri"/>
        </w:rPr>
      </w:pPr>
      <w:r w:rsidRPr="00A4268A">
        <w:rPr>
          <w:rFonts w:eastAsia="Calibri"/>
        </w:rPr>
        <w:t xml:space="preserve">The activity team coordinates the activity programmes.  The programme includes community visitors and outings, entertainment and activities that meet the individual recreational, physical, cultural, and cognitive abilities and preferences for each resident.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All meals and baking are prepared and cooked on site.  Residents' food preferences and dietary requirements are identified at admission.  Special dietary requirements and dislikes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Chemicals are stored safely throughout both facilities.  Resident bedrooms are single, and have a full ensuite, except for seven rooms, which have a hand basin and toilet. There is sufficient space to allow for the movement of residents using mobility aids.  There are large spacious lounges and dining areas.  The internal areas are able to be ventilated and heated.  The outdoor areas are safe and easily accessible. Cleaning, laundry and maintenance staff are providing appropriate services.</w:t>
      </w:r>
    </w:p>
    <w:p w:rsidRPr="00A4268A">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including COVID-19.  There is always a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Bainswood on Victoria has restraint minimisation and safe practice policies and procedures in place.  At the time of the audit there were no residents using any restraints and one resident using an enabler. Staff receive training around restraint minimisation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programme is implemented and meets the needs of the services and provides information and resources to inform the service providers.  Documentation evidences that relevant infection control education is provided to all service providers as part of their orientation and as part of the ongoing in-service education programme.  Surveillance of infections is completed, analysed and corrective actions documented.  Standardised definitions are used for the identification and classification of infection events.  Results of surveillance are acted upon, evaluated and reported to relevant personnel in a timely manner. There has been one outbreak since the previous audit which was managed well.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5"/>
        <w:gridCol w:w="1280"/>
        <w:gridCol w:w="92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10 caregivers (wellness partners), two registered nurses (RN) and two activities staff confirmed their familiarity with the Code.  The Code is discussed at resident/relative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established informed consent policies/procedures and advanced directives.  General consents were obtained on admission as sighted in eight of eight resident files reviewed including three rest home and five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plans were sighted in all files and were signed appropriately.  A medically indicated decision by the GP was evidenced for residents who were deemed by the GP as unable to determine their own resuscitation plan. Copies of EPOA were present and activated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sampled had a signed admission agreement on file.  The admission agreement also included permission granted such as photographs and release of medical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through the information pack.  Complaint forms are available at reception.  There is a complaints’ register in the electronic system.  There have been no complaints made since the last audit.  Residents and relatives interviewed advised that they are aware of the complaints procedure and how to access forms. Staff interviewed were able to describe the process around reporting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at reception.  The service can provide information in different languages and/or in large print if requested.  Information is also given to next of kin or enduring power of attorney (EPOA) to read with the resident and discuss.  Interviews with six residents (four rest home and two hospital level) and four relatives (two rest home and two hospital level) confirmed the services being provided are in line with the Code.  On entry to the service, the village manager or clinical manager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their spiritual needs are being met when required.  Staff receive training on abuse and neglect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Discussions with staff confirmed their understanding of the different cultural needs of residents and their whānau.  At the time of the audit there were no residents at Bainswood on Victoria that identified as Māori.  The service has links with local Māori community members who provide advice and guidance on cultural matters.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are satisfied that their cultural and individual values are being met.  Information gathered during assessment including resident’s cultural beliefs and values, is used to develop a care plan, which the resident (if appropriate) and/or their family/whānau are asked to consult on.  Cultural and spiritual practice is supported and identified needs are incorporated into the care planning process and review as demonstrated in the resident files reviewed.  Staff receive training on cultural safety/awareness.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induction, orientation and ongoing in-service training.  Residents interviewed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on Victoria is embedding the Arvida Attitude of Living Well through the household model.  The household model focuses on the relationship between the care team and the resident using the five pillars (eating well, moving well, resting well, thinking well, and engaging well).  Small groups of residents are supported within the household communities by decentralised self-led teams of employees, that together create a home, nurture relationships, determine their own lives and build community.  Residents are encouraged and supported to create a comfortable living space suited to their particular needs and personal tastes.   Palliative care is managed well with a high level of training provided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Incident forms are entered into the eCase system which generates a monthly report and evidences if the family have been informed of an accident/incident.  Fourteen incident forms reviewed for February and March 2021 identified family were notified following a resident incident.  Residents and relatives interviewed confirmed that the staff and management are approachable and available.  Interpreter services are provided if residents or family/whānau have difficulty with written or spoken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on Victoria is part of the Arvida Group.  The service is certified to provide rest home and hospital (medical and geriatric) level care for up to 57 residents.  All beds are dual purpose.  At the time of the audit there were 50 residents, 21 residents at rest home level including one resident on respite and 29 residents at hospital level including one resident on an ACC contract, and one on an end-of-life contract.  All other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experienced village manager who has been in the role for six years.  The village manager oversees two Arvida facilities, Bainswood on Victoria (rest home and hospital) and Bainlea House (dementia care).  She is supported by an experienced clinical manager who has been in the role since 2019.  The clinical manager also provides clinical oversight for the two facilities (Bainswood on Victoria and Bainlea House).  The clinical manager is supported by a clinical lead full time at Bainswood on Victoria.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Group Support Office on a variety of operational issues and progress towards meeting the service quality goals.  There is also a monthly Arvida leadership zoom meeting.  Arvida Group has an overall business/strategic plan.  Bainswood on Victoria and Bainlea House have a combined business plan 2020/2021 and a quality and risk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head of wellness operations and the general manager wellness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Bainswood on Victoria.  A quality coordinator is contracted for 16 hours per month to oversee and monitor contractual and standards compliance across the three local Arvida facilities (Bainswood on Victoria, Bainlea House and Bainswood House).  The site-specific service's policies are reviewed regularly across the group.  Support office updates new/amended policies via the intranet.  The village manager advised that she is responsible for providing oversight of the quality programme across both sites, which is also monitored at an organisational level   Data is collected in relation to a variety of quality activities (staff and resident accident/incidents, hazards, near misses, infection control, complaints and compliments and internal audit outcomes).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meetings are combined between the two sites (Bainswood on Victoria and Bainlea House).  There are bi-monthly leadership/risk management meetings where operational management is discussed including review of quality goals, organisational key performance indicators, trends and concerns and audit outcomes.  Other meetings include staff meeting, RN/clinical meeting, health and safety committee meeting and residents/relatives meeting.  Meeting minutes are made available to staff.  Interviews with staff confirmed that there is discussion about quality data at the various staff meetings.  An internal audit schedule continues to be implemented and all issues identified had corrective action plans and resolutions.  The clinical manager completes internal audits for Bainswood on Victoria.  The quality coordinator completes an internal audit programme report that is discussed at the bi-monthly leadership/risk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to gather feedback on the service provided.  The overall service result for the 2020 satisfaction survey demonstrated an increase from the 2019 results for clinical care, first impressions, activities, cleaning, laundry and community spaces.  Corrective actions have been established around food/meals and care staff.  Residents and relatives interviewed stated they were happy with the services provided at Bainswood on Victoria.  The service has a health and safety management system and policies that are regularly reviewed by the health and safety committee.  The health and safety committee meet monthly and is open to all staff to attend.  Risk management, hazard control and emergency policies and procedures are in place.  There is a up to date hazard register in place, last reviewed in June 2020.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management policy.  All incidents are entered into the eCase system with a monthly report and end of the month analysis.  The clinical manager investigates accidents and near misses and provides a detailed monthly analysis and trends of incident/accidents.  There is a discussion of incidents/accidents at health and safety and staff meetings, including actions to minimise recurrence.  The RN or clinical manager conducts clinical follow-up of residents.  Fourteen incident forms reviewed demonstrated that all appropriate clinical follow-up and investigation had occurred following incidents.  Appropriate care and support have been provided by caregivers and RNs post incident, including neurological observations completed in incidents for any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were no section 31 notifications completed since the last audit.  A respiratory outbreak in January 2021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Nine staff files were reviewed (one clinical manager, one clinical lead, one RN, four caregivers, one wellness leader and one kitchen manager).  There is evidence that reference checks were completed before employment was offered.  Annual staff appraisals were evident.  A copy of practising certificates is kept.  The service has an orientation programme in place that provides new staff with relevant information for safe work practice.  Completed orientation, competencies and training were on files.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2020 has been completed and the plan for 2021 is being implemented.  The online training programme (Altura) is available for all staff.  Discussions with the caregivers and RNs confirmed that online training is readily available.  More than eight hours of staff development or in-service education has been provided annually.  Competencies completed by staff included medication, insulin, wound care, manual handling, hand hygiene, syringe driver and restraint.  There are 40 caregivers in total.  Completed Careerforce training as follows; five have completed level four and 20 have completed level three.  There are 11 RNs including the clinical manager and clinical team lead.  Eight are interRAI trained with three in progress of completing.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village manager and the clinical manager work full-time.  between the two Arvida facilities (Bainswood on Victoria and Bainlea House).  The clinical manager and the clinical lead share the 24/7 on-call requirement.  The clinical manager is located at Bainswood on Victoria on Monday/Tuesday and Thursday/Friday, and every Wednesday at Bainlea House.  She is supported at Bainswood on Victoria by a clinical lead who works from 7.30 am to 4.00 pm on Sunday to Wednesday.  There are two wings (Victoria and Ivory) of 50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In the Victoria wing (30 beds), there were 26 residents (14 hospital and 12 rest home).  There is an RN on the morning and afternoon shifts, and one RN on the night shift (the night RN is across the facility).  The RNs are supported by five caregivers on the morning shift (two x 7.00 am to 3.30 pm and three x 7.00 am to 1.30 pm).  On the afternoon shift there are four caregivers (two x 3.00 pm to 11.00 pm and two x 3.00 pm to 9.30 pm)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Ivory wing (27 beds) there were 24 residents (15 hospital and nine rest home).  There is an RN on the morning and afternoon shifts.  The RNs are supported by five caregivers on the morning shift (two x 7.00 am to 3.30 pm and three x 7.00 am to 1.30 pm).  On the afternoon shift there are four caregivers (two x 3.00 pm to 11.00 pm and two x 3.00 pm to 9.30 pm)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wellness leaders (activity coordinators) who provide activities over six days a week from 8.00 am to 4.00 pm and a housekeeper from 8.30 am to 2.30 pm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manager (four hours daily) and a cook from 8.15am to 5.15pm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advised that there is sufficient staff on duty to provide the care and support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and dated and identify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Admission agreements were reviewed and aligned with all contractual requirements.  Exclusions from the service are included in the admission agreement.  Admission agreements for long-term residents had been signed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were stored safely in each of the two-medication room.  Clinical staff who administer medications (RNs and caregivers) have been assessed for competency on an annual basis.  Education around safe medication administration has been provided.   A medication round observed evidenced good practice.  The RN checks incoming medication packs against the electronic medication chart and signed off on the electronic medication administration record.  All medications were within the expiry dates.  Eyedrops and sprays were dated on opening.  Medication fridge and room temperatures were monitored and recorded daily.  There were no residents self-medicating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16 medication charts were reviewed on the electronic medication system.  All GP prescribing met legislative requirements.  The GP has reviewed the medication charts three monthly.  There were photographs, and allergy status identified on the medication charts.  The effectiveness of ‘as required’ medications are recorded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cooks and kitchenhands to prepare and cook all meals on site.  The menu has been reviewed by a registered dietitian (November 2020).  The cook receives a resident dietary assessment completed by the RN for all residents and is notified of any dietary changes or weight loss.  The residents’ individual food, fluids and nutritional needs are met.  Dislikes, food allergies and cultural requirements are accommodated.  The kitchen is adjacent to one dining room and meals are served from the kitchen bain marie to the residents.  Meals are delivered to the other dining room serveries in a bain marie and meals are then serviced individually.  Specialised utensils and lip plates are available to support residents with independence at mealtimes.  Staff were observed to be assisting residents with food and fluids at mealtimes. </w:t>
            </w:r>
          </w:p>
          <w:p w:rsidR="00EB7645" w:rsidRPr="00BE00C7" w:rsidP="00BE00C7">
            <w:pPr>
              <w:pStyle w:val="OutcomeDescription"/>
              <w:spacing w:before="120" w:after="120"/>
              <w:rPr>
                <w:rFonts w:cs="Arial"/>
                <w:b w:val="0"/>
                <w:lang w:eastAsia="en-NZ"/>
              </w:rPr>
            </w:pPr>
            <w:r w:rsidRPr="00BE00C7">
              <w:rPr>
                <w:rFonts w:cs="Arial"/>
                <w:b w:val="0"/>
                <w:lang w:eastAsia="en-NZ"/>
              </w:rPr>
              <w:t>The chiller, fridge and freezer temperatures are taken and recorded daily.  End-cooked food temperatures and serving temperatures are taken and recorded at each meal.  The kitchen was observed to be clean, and all aspects of food procurement, production, preparation, storage, delivery and disposal complied with current legislation and guidelines with a verified Food Control Plan in place (expiring December 2021).</w:t>
            </w:r>
          </w:p>
          <w:p w:rsidR="00EB7645" w:rsidRPr="00BE00C7" w:rsidP="00BE00C7">
            <w:pPr>
              <w:pStyle w:val="OutcomeDescription"/>
              <w:spacing w:before="120" w:after="120"/>
              <w:rPr>
                <w:rFonts w:cs="Arial"/>
                <w:b w:val="0"/>
                <w:lang w:eastAsia="en-NZ"/>
              </w:rPr>
            </w:pPr>
            <w:r w:rsidRPr="00BE00C7">
              <w:rPr>
                <w:rFonts w:cs="Arial"/>
                <w:b w:val="0"/>
                <w:lang w:eastAsia="en-NZ"/>
              </w:rPr>
              <w:t>Feedback on satisfaction with meals is obtained from residents through resident meetings.  Residents and relatives interviewed were satisfied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(in the electronic resident management system) on admission, including applicable risk assessment tools.  InterRAI assessments are completed and link to the overall care plan.  Resident needs and supports are identified through the ongoing assessment process in consultation with the resident (as appropriate), family and significant others.  The long-term care plans in place reflected the outcome of the assessments.   The resident on the end-of-life care plan documented frequent re-assessment of pain and care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initial care plan and ongoing assessments populates the long-term care plan which is updated by the RN within three weeks of admission.  Resident care plans reviewed were resident focused and individualised.  All identified support needs as assessed, were included in the care plans for all resident files reviewed.  The outcomes of interRAI assessments link with the long-term care plan supports and interventions.  Care plans evidenced resident (as appropriate) and family/whānau involvement in the care plan process.  Relatives interviewed confirmed they were notified of an upcoming MDT review and were involved in the care planning process.  Resident files demonstrated service integration.  There was evidence of allied health care professionals involved in the care of the resident including the GP, physiotherapist, dietitian and palliative care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GP consultation.  There was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contact sheet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staff were observed and heard chatting to the residents creating a cheerful and welcoming atmosphere.  It was also noted that the staff offered tea, coffee and snacks at any time for residents which residents appreciated very much (noted from observation and chatting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and evaluations were in place for 12 wounds (two pressure injuries, two skin conditions, one surgical wound and the remainder were minor skin tears). There was pressure injury prevention equipment readily available to minimise pressure injuries.  The service has access to a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re-positioning, neurological observations food and fluid intake, bowel monitoring and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are plans are updated for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Arvida philosophy of care activities are led by residents in association with the caregivers (called wellness partners).  There are two activity team members who are led by an experienced activity coordinator (wellness leader) and who supports activities over six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published monthly and reflects meaningful activities such as (but not limited to); crafts, baking, van trips, visits by Plunket babies and mothers, newspaper reading, quizzes, a knitting group indoor bowls and happy hour.  One-on-one activities such as individual walks, chats and discussions, reminiscing and games occur for residents who are unable to participate or choose not to be involved in group activities.   At 11 am each day the service has ‘tools down’ and all staff including kitchen, cleaners and management all stop work to spend time with the residents, this can be chats, joining in exercises, walks or whatever the resident would like.  This was witnessed on both days of audit.  The service has recently upgraded the garden for residents.</w:t>
            </w:r>
          </w:p>
          <w:p w:rsidR="00EB7645" w:rsidRPr="00BE00C7" w:rsidP="00BE00C7">
            <w:pPr>
              <w:pStyle w:val="OutcomeDescription"/>
              <w:spacing w:before="120" w:after="120"/>
              <w:rPr>
                <w:rFonts w:cs="Arial"/>
                <w:b w:val="0"/>
                <w:lang w:eastAsia="en-NZ"/>
              </w:rPr>
            </w:pPr>
            <w:r w:rsidRPr="00BE00C7">
              <w:rPr>
                <w:rFonts w:cs="Arial"/>
                <w:b w:val="0"/>
                <w:lang w:eastAsia="en-NZ"/>
              </w:rPr>
              <w:t>An activity assessment and activity plan are completed on admission in consultation with the resident/family as appropriate.  Activity plans in all files were evaluated six-monthly at the same time as the care plan at the MDT meetings with the resident/relative.  All of the activity team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able to provide feedback and suggestions for the programme through meetings, surveys and one-on-one feedback.  Residents and families interviewed on the day of audit commented positively on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has been awarded around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been evaluated at least six monthly or earlier for any health changes against the resident goals or transfer to higher level of care within the facility.   The GP reviews the residents at least three monthly or earlier if required.  Ongoing nursing evaluations occur as indicated and are documented within the progress notes, care plan and the case conference records.  Updates to interventions were evident following changes identified at the evaluation including the care plan for the end-of-life resident.  Family are invited to the case conference meetings and if unable to attend are informed of changes to the care plan.  Written evaluations document if the resident goals have been met or unmet.  The care staff are asked for input into the evaluation of the care plan.  The case conference meetings are multidisciplinary, with registered nurse, wellness leader (diversional therapist), physiotherapist, resident/relative and other health professionals  involved in the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Residents requiring a higher level of care are referred to the needs assessment service for re-assessment as evidenced for one hospital resident requiring dementia level of care.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both facilities.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that expires 19 February 2022.  All medical and electrical equipment was recently serviced and/or calibrated and is due again 2022.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preventative and reactive maintenance programme in place.  The checking of medical equipment including hoists, has been completed annually. The living areas are carpeted, and vinyl surfaces exist in bathrooms/toilets and kitchen areas.  The corridors are wide and promote safe mobility with the use of mobility aids and transferring equipment.  Residents were observed moving freely around the facility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and easy access for wheelchair access to all external areas.  There  is a designated resident smoking area outside.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and caregivers interviewed stated that they have sufficient equipment referred to in care plans and necessary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All bedrooms are single with full ensuites, except for seven bedrooms, which have toilet  and  hand basins only. Shower rooms are readily available and clean. .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bedrooms are of an adequate size, appropriate to the level of care provided.  The bedrooms allow for the resident to move about the room independently with the use of mobility aids.  Residents and their families are encouraged to personalise the bedrooms as viewed.  Residents interviewed confirm their bedrooms are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large lounges, two smaller lounges and two dining areas.  The lounges have seating placed appropriately to allow for group and individual activities to occur.  Residents are observed safely moving between the communal areas with the use of their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who have access to a range of chemicals, cleaning equipment and protective clothing.  The standard of cleanliness is monitored through the internal audit programme.  Residents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laundry is completed by a dedicated laundry person on-site.  Families and residents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response plan in place.  Staff have planned and implemented strategies for emergency management including Covid-19.  A fire evacuation plan is in place that has been approved by the New Zealand Fire Service.  Six-monthly fire evacuation drill documentation was sighted, with the last fire evacuation drill occurring on 30 April 2021.  Fire training and security situations are part of orientation of new staff and include competency assessments.  Emergency equipment is available at the facility.  All RNs are first aid trained.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A contracted service provides checking of all facility equipment including fire equipment.  There are adequate supplies in the event of an emergency including first aid kits, food, water (ceiling header tanks), blankets and gas cooking (two BBQs and gas Hobbs in the kitchen).  There are civil defence kits (checked six monthly) that are readily accessible and include torches, batteries and radios.  There are also supplies of outbreak/pandemic and personal protection equipment (PPE) available.  Short-term backup power for emergency lighting is in place.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ceiling heat that can be altered in each resident’s room, hallways and communal areas.  The temperature can be adjusted to suit individual resident temperature preference.  Rooms are well ventilated, and windows provide natural light.  Facility temperatures are monitored, and the residents interviewed advised the temperature was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on Victoria continues to fully implement the Arvida infection control programme.  The infection control programme has been reviewed for 2020.  The infection control programme, its content and detail, is appropriate for the size, complexity and degree of risk associated with the service.  It is linked into the quality reporting system.   A clinical manager is the infection control coordinator for the service, supported by the clinical lead. The infection control coordinator has support from all staff including the GP.  Internal audits have been conducted and include hand hygiene and infection control practices.  Education is provided for all new staff on orientation.  Monthly infection control statistics are reported to monthly meetings and to the Arvida leadership group.</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outbreak at Bainswood on Victoria (December 2020- January 2021) since the previous audit and was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IC coordinator and IC team have good external support from the GP and clinical specialists at the DHB.  Infection prevention and control is part of staff orientation.  Hand washing facilities are available throughout the facility and hand sanitiser is freely available.  The service has outbreak kits which include all personal protection equipment,(PPE) and instructions.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a large supply of PPE.  There is a comprehensive covid management plan and regular meetings ensure all staff are aware of procedures.  The service undertook a post covid review after the most recent lock down and implemented changes where the service noted any shortfalls or areas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Polices are developed at support office and reviewed on a regular basis and up dated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the infection control programme, responsibilities and oversight,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on line training and is booked for the DHB training in infection control.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visitors that is appropriate to their needs.  Resident education occurs during care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infection control manual.  Monthly infection data is collected for all infections based on signs and symptoms of infection.  Interventions are added to the care plan when the resident has an infection.  Surveillance of all infections is entered onto a monthly infection summary.  This data is monitored and evaluated monthly and annually.  Outcomes and actions are discussed at quality meetings.  If there is an emergent issue, it is acted upon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Policies and procedures include definition of restraint and enabler that are congruent with the definition in NZS 8134.2.  The clinical manager is the restraint coordinator.  At the time of the audit there were no residents using any restraints and one resident using an enabler (bed rail).  Enabler use is voluntary.  All necessary assessments and evaluations had been completed in relation to the enabler.  Staff receive training around restraint minimisation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613"/>
        <w:gridCol w:w="7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includes wellbeing pillars of, moving well, thinking well, and engaging well.  During 2020 the service saw an opportunity to improve resident’s wellbeing following a review of resident feedback.  An overall service review using information from the survey, incident trends, and resident feedback evidenced an opportunity to improve mobility, involve residents in the planning and allow for ongoing resident input.  It was decided by the service and the residents to create a further garden.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garden has been designed and created in association with the residents.  To build the garden a significant amount of  work had to be initiated, including the use of an industrial digger the creation of raised beds and new fencing.  Photographs document the changes from a basic lawn area to a fenced area with flowers and vegetables.  The service described how the garden design and use of the garden linked to the service philosophy (thinking, engaging and moving). Residents and families have been involved with planting both flowers and vegetables.  The kitchen uses the produce as part of the resident’s meals.  On the days of audit, more than one member of staff and several residents offered to show the garden to the auditors, and all are clearly very proud of the initiative. The activity wellness leader described how residents were very involved in the garden development and how the safe area allowed more residents to mobilise outside.  Satisfaction with activities has improved from 67% 2020 to 79% 2021.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Bainlea House (2013) Limited - Bainswood on Victoria</w:t>
    </w:r>
    <w:bookmarkEnd w:id="58"/>
    <w:r>
      <w:rPr>
        <w:rFonts w:cs="Arial"/>
        <w:sz w:val="16"/>
        <w:szCs w:val="20"/>
      </w:rPr>
      <w:tab/>
      <w:t xml:space="preserve">Date of Audit: </w:t>
    </w:r>
    <w:bookmarkStart w:id="59" w:name="AuditStartDate1"/>
    <w:r>
      <w:rPr>
        <w:rFonts w:cs="Arial"/>
        <w:sz w:val="16"/>
        <w:szCs w:val="20"/>
      </w:rPr>
      <w:t>4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