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Aroha and District Health Services Charitable Trust - Te Aroha &amp; District Community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Aroha and District Health Services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Aroha &amp; District Community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April 2021</w:t>
      </w:r>
      <w:bookmarkEnd w:id="7"/>
      <w:r w:rsidRPr="009418D4">
        <w:rPr>
          <w:rFonts w:cs="Arial"/>
        </w:rPr>
        <w:tab/>
        <w:t xml:space="preserve">End date: </w:t>
      </w:r>
      <w:bookmarkStart w:id="8" w:name="AuditEndDate"/>
      <w:r w:rsidR="00A4268A">
        <w:rPr>
          <w:rFonts w:cs="Arial"/>
        </w:rPr>
        <w:t>23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Aroha and District Community Hospital is governed by a community trust board.  The service provides rest home and hospital level care (geriatric and medical) for up to 45 residents.  The service also has five general practitioner beds.  On the day of the audit there were 34 residents.  The residents, relatives and general practitioner interviewed commented positively on the care and services provided at Te Aroha.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The clinical/facility manager has been in her role five years.  She is supported by a second in charge/registered nurse, enrolled nurse operations administrator and long-serving staff.  </w:t>
      </w:r>
    </w:p>
    <w:p w:rsidRPr="00A4268A">
      <w:pPr>
        <w:spacing w:before="240" w:line="276" w:lineRule="auto"/>
        <w:rPr>
          <w:rFonts w:eastAsia="Calibri"/>
        </w:rPr>
      </w:pPr>
      <w:r w:rsidRPr="00A4268A">
        <w:rPr>
          <w:rFonts w:eastAsia="Calibri"/>
        </w:rPr>
        <w:t xml:space="preserve">There were no areas identified for improvement at this certification audit.  The service continues to embed quality systems and upgrade/refurbish the facility.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Care at Te Aroha is provided in a way that focuses on the individual, values residents' autonomy and maintains their privacy and choice.  The service functions in a way that complies with the Health and Disability Commissioner’s Code of Consumers’ Rights (the Code).  Residents’ cultural needs are met.  There are linkages to the marae and kaumātua for Māori residents.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  Meetings are held to discuss quality and risk management processes.  Residents’/family meetings are held regularly.  Health and safety policies, systems and processes are implemented to manage risk.  Incidents and accidents are reported and followed through.  Falls prevention strategies are in place that includes the analysis of falls incidents.  An education and training programme has been implemented with a current training plan in place for 2021.  Appropriate employment processes are adhered to and all employees have an annual staff appraisal completed.  A roster provides sufficient and appropriate coverage for the effective delivery of care and support.  Registered nursing cover is provided on all shifts in the hospital building at all times.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 available on entry to the service.  The registered nurses are responsible for each stage of service provision.  A registered nurse assesses and reviews residents' needs, outcomes and goals with the resident and/or family/whānau input.  Care plans viewed demonstrate service integration and are evaluated at least six 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There is a trained first aider on duty 24 hours.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There were no residents with restraint and two residents with an enabler.  All appropriate documentation was in place.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93"/>
        <w:gridCol w:w="1280"/>
        <w:gridCol w:w="96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nine care staff (four healthcare assistants, one registered nurse- RN (second in charge), one clinical facility manager (CFM), one enrolled nurse (EN) and two activity coordinators confirmed their familiarity with the Code.  Interviews with nine residents (six rest home and three hospital) and three families (two rest home and one hospital) confirmed that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six resident files; two rest home (including one respite care), and four hospital (including one younger person -YPD and one resident funded by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Healthcare assistants (HCAs) and registered nurses (RNs)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sampled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as part of the set training programme.  Information about accessing advocacy services information is available in the entrance to both buildings.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All residents and relatives interviewed confirmed that relative/family visiting could occur at any time.  Residents are supported to attend community events such as school functions and shopping trips.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complaints policy and complaint forms are available near the entrance of both buildings. Information about complaints process and a form is provided in the admission package.  Interview with residents and relatives demonstrated an understanding of the complaints process.  One complaint from the Health and Disability Commission in October 2019 had been fully investigated, resolved to the satisfaction of the complainant and closed off in January 2020.  There are no further complaints for 2020 and 2021 to date.  A complaint register is in place.  The template letter for acknowledgment of complaints and follow-up includes agencies involved and the right to advocacy with contact details.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able to describe the process around reporting complaints.  Family members and residents interviewed stated they were aware of the complaints process should they have a concern.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on the community noticeboard.  There are leaflets available in the foyer of both facility buildings.  The service can provide information in different languages and/or in large print if requested.  Information is also given to next of kin or enduring power of attorney (EPOA) to read with the resident and discuss.  On entry to the service, the information pack is discussed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are privacy locks in communal showers and toilets.  There is a policy that describes spiritual care.  All residents interviewed indicated that their privacy and dignity was respected.  Staff receive training on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are three Māori residents who identified as Māori at the time of the audit.  The clinical facility manager identifies as Māori and acts as an advocate for Māori residents with access and links to local marae, iwi and kaumātua.  School groups regularly perform kapa haka.  Cultural and spiritual practice is supported and identified needs are incorporated into the care planning process as demonstrated in the three resident files reviewed.  Discussions with staff confirmed that they are aware of the need to respond to cultural differences and acknowledged the importance and participation of whānau in the delivery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spiritual beliefs and values, is used to develop a care plan.  There is evidence of resident (if appropriate) and/or their family/whānau consultation in the plan of cultural care.  Staff receive training on cultural safety/awareness. Church services are held on site and residents are supported to attend churches of their denomination in the community.  The service holds an annual “all souls day” in remembrance of residents who have passed away.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Staff read and sign the House rules on employment.  Two volunteer agreements cover confidentiality and code of rights clause.  The orientation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a member of an aged care association and receive regular updates on current practice in aged residential care.  There are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an understanding of principles of aged care and stated that they feel supported by the management team.  External speakers are invited to provide education and training.  The RNs have access to te koatea on-line education.  Registered nurses each have an individual portfolio and complete relevant training and internal audits related to their portfolio such as fall, documentation, wounds, pharmacy/medications, weight management, tube management (e.g., peg feeds), infection control, health and safety and restraint minimisation.    There is a focus group who are representative of clinical and support services staff and meet monthly to review quality improvements, internal audits and quality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used community donations to continually upgrade the environment including a palliative care room with space and furnishings for family/whānau and purchase of a bariatric wheelchair.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Ten incident/accidents forms reviewed for the month of February 2021 had documented evidence of family notification.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that they are notified of any changes in their family member’s health status.  There are two-monthly resident meetings which are open to families.  Meeting minutes are displayed on the noticeboard.  Any issues raised from these meetings are followed up by the clinical/facility manager.  Interpreter services are available as required.  Residents interviewed confirmed that communication between them and the care staff and management was good.  There are regular newsletters that keep family/whānau updated on facility matters.  A Facebook page links family to service updates and activities (with consent gained from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community trust board of nine people governs Te Aroha and District Community Hospital.  Board members have experience in finance, accounting, property and human resources and legal aspects.  The service provides rest home and hospital level care (geriatric and medical) for up to 45 residents.  On the day of audit there was a total of 34 residents.  In the 16-bed rest home building (includes one double room) there were 13 rest home residents and two hospital level residents with a MOH letter of dispensation.  In the hospital building of 29 beds (including 5 general practitioner beds) there were 16 hospital residents (including one ACC funded resident and one younger person), one respite rest home resident and two long-term rest home residents.  There were no residents in the GP beds.  There were no residents under medical services, palliative care contract, or rest and recuperation contract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2018 – 2021 business, quality and risk management plan is in place.  This plan includes the core values - Respect, Compassion, Communication and Cooperation.  Strategic goals and objectives are documented and are reviewed at the monthly Trust Board meetings.  The clinical/facility manager attends the Board meetings and provides clinical governance.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clinical/facility manager (RN) has been in the role four and a half years.  She is supported by an RN/second in charge appointed August 2020.  They both work Monday to Friday and share the on-call.  They also complete morning RN duties as required.  An enrolled nurse/operations administrator coordinates the internal audit programme and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clinical/facility manager has undertaken a minimum of eight hours of professional development relating to the management of an aged care service in the past twelve months including attending an aged care study day on Aspiring Leaders.  She has also completed a six-week understanding dementia on-line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temporary absence of the clinical/facility manager, the RN/second in charge takes on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and risk plan with identified goals for Te Aroha including falls prevention, pain management, clinical documentation and continue to review policies and procedures.  Interviews with staff confirmed that there is discussion about quality data, including accident/incidents, infections, internal audit outcomes, concerns/compliments at the monthly focus meeting and at other facility meetings including staff and RN meetings.  Meeting minutes are available for staff who are required to read and sign the minutes.  The clinical/facility manager is responsible for providing oversight of the quality programme on site.  She is supported by an operations administrator (EN) who coordinates internal audits and the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contracted an aged care consultant to assist with policies, provide aged care updates/information and benchmarking.  The clinical/facility manager has been reviewing policies and adapting these to the service.  Staff are made aware of any new/reviewed policies and paper-based manuals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for 2020 has been completed and the 2021 programme is underway.  Internal audits are allocated to the relevant person and cover environmental, support services, clinical and documentation audits.  Re-audits and corrective action plans are completed for audit results less than expected.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June 2020 resident/relative survey was not completed due to Covid-19 and is planned for June 2021.  All residents admitted to GP beds complete surveys on the month of admission.  The results are collated, and the clinical/facility manager responds to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The health and safety committee meet monthly and includes the management team, representatives from each area and two board members.  A health and safety representative has attended external training and the maintenance person is registered to attend.  There is a current hazard register for each area of work.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clinical/facility manager investigates accidents and near misses and analysis of incident trends occurs.  There is a discussion of incidents/accidents at staff/RN and focus meetings including actions to minimise recurrence.  An RN conducts clinical follow-up of residents who sustain an incident/accident.  Ten incident/accident forms for February 2021 were reviewed and demonstrated that appropriate clinical follow-up and investigation has occurred following incidents.  Neurological observations were completed for unwitnessed falls and for residents with an obvious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clinical/facility manager confirmed an awareness of the requirement to notify relevant authorities in relation to essential notifications.   The public health and MOH were notified of a meningococcal outbreak in July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This includes that the recruitment and staff selection process requires that relevant checks are completed to validate the individual’s qualifications and experience.  Eight staff files were reviewed (two RNs, one enrolled nurse, four healthcare assistants and one cook) and identified that all relevant documentation was completed before employment was offered.  Completed orientations and job descriptions were on file and staff interviewed could describe the orientation programme provided.  Current annual staff appraisals were in all staff files reviewed.  A copy of practising certificates for qualified nurses and allied health professionals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was disrupted due to Covid-19 restrictions and recommenced again in June 2020.  The 2021 education plan is underway.  The operations administrator/EN coordinates the speakers, workbooks and competencies to be completed.  There are two in-service sessions offered on each topic to allow for all staff to attend.  The physiotherapist provides training on safe manual handling.  Registered nurses’ complete clinical competencies including medications, male catherisation, dialysis, PIC lines, intravenous therapy and venepuncture procedures.  All competencies are signed off by an approved trainer.  Registered nurse has access to te koatea on-line training and DHB study days.  There are seven RNs with six interRAI trained.  Registered nurses are allocated administration days on the roster to complete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healthcare assistants and the RNs confirmed that ongoing training is encouraged and supported by the service.  Eight hours of staff development or in-service education has been provided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determine staffing levels and skill mixes for safe service delivery.  A roster provides sufficient and appropriate coverage for the effective delivery of care and support.  The clinical/facility manager (RN) is on duty Monday to Friday and is available on call weekends and after hours.  The clinical operations administrator is on duty Monday to Friday.  There is a RN on duty 24-hours a day.  The RN on duty oversees the rest home.  The RN/second in charge works Monday to Friday.   This allows for the RN on duty to complete RN duties in the rest home each weekday morning.</w:t>
            </w:r>
          </w:p>
          <w:p w:rsidR="00EB7645" w:rsidRPr="00BE00C7" w:rsidP="00BE00C7">
            <w:pPr>
              <w:pStyle w:val="OutcomeDescription"/>
              <w:spacing w:before="120" w:after="120"/>
              <w:rPr>
                <w:rFonts w:cs="Arial"/>
                <w:b w:val="0"/>
                <w:lang w:eastAsia="en-NZ"/>
              </w:rPr>
            </w:pPr>
            <w:r w:rsidRPr="00BE00C7">
              <w:rPr>
                <w:rFonts w:cs="Arial"/>
                <w:b w:val="0"/>
                <w:lang w:eastAsia="en-NZ"/>
              </w:rPr>
              <w:t>The healthcare assistant (HCA) rosters are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the rest home – Lawrence House (separate building) with 16 beds including one double room.  There were 13 rest home residents and two hospital level residents (one had been re-assessed for rest home care).  On the morning shift there is one HCA on the full shift and one HCA from 7-10.30 am.  On the afternoon shift there is one HCA on the full shift and one HCA from 4.45 pm-7.30 pm.  There is one HCA at night. </w:t>
            </w:r>
          </w:p>
          <w:p w:rsidR="00EB7645" w:rsidRPr="00BE00C7" w:rsidP="00BE00C7">
            <w:pPr>
              <w:pStyle w:val="OutcomeDescription"/>
              <w:spacing w:before="120" w:after="120"/>
              <w:rPr>
                <w:rFonts w:cs="Arial"/>
                <w:b w:val="0"/>
                <w:lang w:eastAsia="en-NZ"/>
              </w:rPr>
            </w:pPr>
            <w:r w:rsidRPr="00BE00C7">
              <w:rPr>
                <w:rFonts w:cs="Arial"/>
                <w:b w:val="0"/>
                <w:lang w:eastAsia="en-NZ"/>
              </w:rPr>
              <w:t>For the hospital wing of 29 beds (includes five GP beds) there were 16 hospital level residents and three rest home residents.  There are four HCAs on the morning shift with two on the full shift and two who finish at 1.30 pm.  On the afternoon shift there are four HCAs who work the full shift and two who finish at 8 pm.  There is one HCA on nights.  HCAs in the hospital are available to assist in the rest home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at all times.  Staff stated they feel supported by the RN and clinical/facility manager, who responds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Other residents or members of the public cannot view sensitive resident information.  Entries in records are legible, dated and signed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clinical facility manager and second in charge/RN (2IC)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six admission agreements reviewed meet contractual requirements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received the information pack and received sufficient information prior to and on entry to the service.  Family members reported that the clinical facility manager or 2IC RN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all aspects of medication management, including self-administration.  There were no residents self-medicating on the day of audit, however policy and procedures outlining assessment, review and safe storage are in place should the service require it.  There are standing orders in use which are documented, including indications for use, frequency and maximum doses.  These are reviewed three-monthly by the GP.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administer medications, have up to date medication competencies and there has been medication education in the last year.  Registered nurses have syringe driver training completed by the hospice.  The medication fridge and room temperatures are checked daily.  Eye drops viewed in the medication trolley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Twelve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lead cook oversees the procurement of the food and management of the kitchen.  All meals are cooked on site.  The kitchen was observed to be clean and well organised, and a current approved food control plan was in evidence, expiring February 2022.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The four-weekly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All resident/families interviewed were very complimentary about the meals provided.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indicated that all appropriate personal needs information is gathered during admission in consultation with the resident and their relative where appropriate.  InterRAI assessments had been completed for all long-term residents’ files reviewed.  Initial interRAI assessments and reviews are evident for five of six resident files.  The respite care resident was not required to have an interRAI assessment.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are appropriately completed according to need.  For the resident files reviewed, the outcomes from interRAI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dietitian, wound care specialist and PEG nurse specialist.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three chronic wounds, one skin tear, two post-surgical, two lacerations and one hospital resident with a grade 1 pressure injury (facility acquired). </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activity coordinators who plan and lead all activities, covering seven days per week for rest home and hospital, and Monday to Friday for day care clients.  Residents were observed participating in planned activities in all three areas during the time of audit, including group exercise in the main lounge, with the activities team adapting exercises to the various abilities of the clients to facilitate a fun and inclusive session.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walks outside, crafts, games, quizzes, entertainers, pet therapy, floor games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hand massage are offered.  Residents in the main facility also have the choice to attend alternate activities with younger clients attending day care should they prefer.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at least weekly outings including supported shopping trips on the facility’s own wheelchair accessible minibus.  There are regular entertainers visiting the facility.  Special events like birthdays, Easter, Mothers’ Day and Anzac Day are celebrated.  There are visiting community groups such as various church denominations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resident care plans reviewed (excluding the resident on respite) had been evaluated by the registered nurses six-monthly or earlier if there was a change in health status.  Care plan evaluations were documented and reviewed progress to meeting goals.  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clinical facility manager interviewed could describe the procedure for when a resident’s condition changes and the resident needs to be reassessed for a higher or different level of care.  Discussion with the clinical/facility manager and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systems status report (expiring February 2022) issued in lieu of a building warrant of fitness as one or more systems could not be signed off during Covid lockdown.  There is a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April 2023.  The hoist and scales are checked annually and are next due to be checked April 2022.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decked areas are well maintained.  All external areas have attractive features, including extensive landscaped grounds, and raised vegetable beds which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resident rooms with ensuite in the rest home and three in the hospital.  There are also sufficient communal toilets and showers.  Handrails are appropriately placed in ensuite bathrooms and communal showers and toilets.  There is ample space in toilet and shower areas to accommodate shower chairs and a hoist if appropriate.  Privacy is assured with the use of ensuites and communal toilet/shower/bathing facilities and they have a system that indicates if it is engaged or vacant.  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all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of linen is outsourced.  There is a separate ‘dirty’ area for linen awaiting collection and a ‘clean’ area for deliveries.  Personals are done on site and there is a defined clean and dirty flow within the laundry area.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There is a civil defence cupboard with additional supplies in an external locked shed.  There is sufficient water (bottled) and food.  The installation of water tanks is at the planning stage at Board level.  All civil defence supplies are checked regularly.  There is a gas barbeque available for alternative cooking.  An on-site generator is automatically connected in the event of loss of power.  The generator is checked monthly by a contractor.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The six-monthly fire drill during lockdown was delayed, however there was an actual fire alarm prompting a full evacuation in December 2020.  Fire safety inspections are carried out monthly.  There is a trained first aider on duty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Call bells and sensor mat when activated light up on corridor lights that are visible from all areas in the facility.  There are planned call bell checks.  Security policies and procedures are documented and implemented by staff.  The buildings are secure at night with after-hours doorbell access, which is connected to the call bell system.  There is security lighting.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The infection control coordinator/RN has been in the role since 2015 and has a job description that outlines the responsibility of the role.  Monthly infection control reports are provided to the focus meeting and meeting minutes are made available to staff.  The infection control programme is reviewed monthly, and a report provided by the clinical/facility manager to the Trust Board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QR screening at the door and visitor/contractor declaration forms to be completed on entry to the facility.  There are adequate hand sanitisers appropriately placed throughout the facility.  Visitors are asked not to visit if unwell.  Influenza vaccinations are offered to all residents.  Residents and relatives interviewed confirmed they were kept informed regarding Covid-19 restrictions.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 has completed Ministry of Health on-line training April 2020 and attended an infection control study day at the DHB November 2020.  There are adequate resources to implement the infection control programme for the size and complexity of the organisation.  The clinical/facility manager, IC nurse and RN team have external support from the IC team at the DHB who assisted with personal protective equipment required during lockdown.  Infection control updates and newsletters are received from the contracted aged care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policies and procedures have been developed by the service, referenced and have been reviewed April 2021.  The policies and procedures are appropriate for the size and complexity of the service.  The infection control manual outlines a comprehensive range of policies, standards and guidelines and includes defining roles and responsibilities.  There is a Covid-19 resource manual including alert levels fact sheet.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new staff complete orientation which includes infection control.  All staff complete an infection control workbook annually and handwashing competencies.  In addition, there has been training on the correct use of donning and doffing of personal protective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IC collates information obtained through surveillance to determine infection control activities and education needs in the facility.  Infection control data including trends is discussed at the focus meeting and other facility meetings.  The aged care consultant provides benchmarking and an annual comparison of infections.  Meeting minutes including graphs are available to staff.  Trends are identified, analysed and preventative measures put in place.  Internal audits have been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meningococcal outbreak (cluster) in July 2020.  Two residents were admitted to hospital with sepsis and were diagnosed with meningitis.  The service received advice and support from the Medical Officer of Health who also notified the MOH (email sighted).  Staff were offered a meningitis vaccine and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There were no residents with restraints and two residents who had voluntarily requested the use of an enabler (bed-wickets).  All appropriate documentation was in place and the enabler use is evaluated when the care plan evaluation is due.  Staff education on restraint minimisation and de-escalation (June 2020) and management of challenging behaviour (February 2020)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Aroha and District Health Services Charitable Trust - Te Aroha &amp; District Community Hospital</w:t>
    </w:r>
    <w:bookmarkEnd w:id="58"/>
    <w:r>
      <w:rPr>
        <w:rFonts w:cs="Arial"/>
        <w:sz w:val="16"/>
        <w:szCs w:val="20"/>
      </w:rPr>
      <w:tab/>
      <w:t xml:space="preserve">Date of Audit: </w:t>
    </w:r>
    <w:bookmarkStart w:id="59" w:name="AuditStartDate1"/>
    <w:r>
      <w:rPr>
        <w:rFonts w:cs="Arial"/>
        <w:sz w:val="16"/>
        <w:szCs w:val="20"/>
      </w:rPr>
      <w:t>22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