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Bethsaida Trust Board Incorporated - Bethsaida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Bethsaida Trust Board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Bethsaida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June 2021</w:t>
      </w:r>
      <w:bookmarkEnd w:id="7"/>
      <w:r w:rsidRPr="009418D4">
        <w:rPr>
          <w:rFonts w:cs="Arial"/>
        </w:rPr>
        <w:tab/>
        <w:t xml:space="preserve">End date: </w:t>
      </w:r>
      <w:bookmarkStart w:id="8" w:name="AuditEndDate"/>
      <w:r w:rsidR="00A4268A">
        <w:rPr>
          <w:rFonts w:cs="Arial"/>
        </w:rPr>
        <w:t>1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Bethsaida retirement village provides rest home and hospital level care for up to 57 residents. The service is operated by the Bethsaida Trust Incorporated and managed by a facility manager and a clinical nurse manager. Residents and families spoke positively about the care provided and how much they like the environment.</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service provider’s contract with the district health board. The audit process included review of policies and procedures, review of residents’ and staff files, observations and interviews with residents, family, management, staff, an external palliative care nurse and a general practitioner.  </w:t>
      </w:r>
    </w:p>
    <w:p w:rsidRPr="00A4268A">
      <w:pPr>
        <w:spacing w:before="240" w:line="276" w:lineRule="auto"/>
        <w:rPr>
          <w:rFonts w:eastAsia="Calibri"/>
        </w:rPr>
      </w:pPr>
      <w:r w:rsidRPr="00A4268A">
        <w:rPr>
          <w:rFonts w:eastAsia="Calibri"/>
        </w:rPr>
        <w:t>This audit has resulted in four identified areas of improvements, all of which relate to various aspects of quality and risk management. There were no corrective actions raised at the last audit to follow up 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open communication between staff, residents and families, especially following adverse events. Local interpreter services are able to be accessed if required.  </w:t>
      </w:r>
    </w:p>
    <w:p w:rsidRPr="00A4268A">
      <w:pPr>
        <w:spacing w:before="240" w:line="276" w:lineRule="auto"/>
        <w:rPr>
          <w:rFonts w:eastAsia="Calibri"/>
        </w:rPr>
      </w:pPr>
      <w:r w:rsidRPr="00A4268A">
        <w:rPr>
          <w:rFonts w:eastAsia="Calibri"/>
        </w:rPr>
        <w:t xml:space="preserve">Information about how to make a complaint is readily available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Monthly monitoring reports are provided to the board of the charitable trust.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is well described and includes collection of related information. Staff are involved and feedback is sought from residents and families. Adverse events are documented with corrective actions implemented. A documented risk management plan is available and a health and safety system is being implemented.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Recruitment and orientation processes for new staff are based on current good practice. An education schedule identifies appropriate training opportunities that support safe service delivery and this is being carried through accordingly. Individual staff performance reviews occur annually.  </w:t>
      </w:r>
    </w:p>
    <w:p w:rsidRPr="00A4268A">
      <w:pPr>
        <w:spacing w:before="240" w:line="276" w:lineRule="auto"/>
        <w:rPr>
          <w:rFonts w:eastAsia="Calibri"/>
        </w:rPr>
      </w:pPr>
      <w:r w:rsidRPr="00A4268A">
        <w:rPr>
          <w:rFonts w:eastAsia="Calibri"/>
        </w:rPr>
        <w:t xml:space="preserve">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Electrical equipment is tested as required and bio-medical equipment checked and calibrated annually. External areas provide an accessible and safe environment.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enabler and two restraints were in use at the time of audit.  Use of enablers is voluntary for the safety of residents.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aims to prevent and manage infections. 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 xml:space="preserve">Aged care specific infection surveillance is undertaken, and results reported through all levels of the organisation. Follow-up action is taken as and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68"/>
        <w:gridCol w:w="1280"/>
        <w:gridCol w:w="101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procedures and associated forms meet the requirements of Right 10 of the Code.  Information on the complaint process is provided to residents and families on admission. Residents and family members interviewed were aware of their right to make a complaint and how to do this.  Complaint forms are available near the reception area at the front entrance.</w:t>
            </w:r>
          </w:p>
          <w:p w:rsidR="00EB7645" w:rsidRPr="00BE00C7" w:rsidP="00BE00C7">
            <w:pPr>
              <w:pStyle w:val="OutcomeDescription"/>
              <w:spacing w:before="120" w:after="120"/>
              <w:rPr>
                <w:rFonts w:cs="Arial"/>
                <w:b w:val="0"/>
                <w:lang w:eastAsia="en-NZ"/>
              </w:rPr>
            </w:pPr>
            <w:r w:rsidRPr="00BE00C7">
              <w:rPr>
                <w:rFonts w:cs="Arial"/>
                <w:b w:val="0"/>
                <w:lang w:eastAsia="en-NZ"/>
              </w:rPr>
              <w:t>The complaint register reviewed showed that no complaints have been received by the facility manager over the past year. The facility manager is responsible for complaints management and follow-up.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Health and Disability Commission complaint lodged in 2019 has been closed with a letter confirming actions taken by the service provider had been appropriate. Another health and disability complaint and one from the advocacy service have been presented to the facility manager this year and both of these are still open. Copies of documentation compiled to respond to these separate complaints were reviewed and confirmed the facility manager’s cooperation with the requests. The facility manager is currently awaiting responses from the respective authorities.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Open communication processes between the managers, registered nurses, residents and family members are in place. Any incident, accident or change in health status is reportedly conveyed to the person and to family as soon as possible. Residents and family members stated they were kept well informed in such circumstances and were advised in a timely manner. This was evident in residents’ records reviewed. Staff have received related training in March 2021. Those interviewed were aware of the principles of open disclosure, which are supported by policies and procedures that meet the requirements of the Code.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no requirement for use of an interpreter since the last audit. Similarly, there has been no requirement for additional services for residents with visual and or hearing impairments. An interpreter policy and procedure lists a range of services from which interpreter services may be accessed, including the local Wairau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Bethsaida Retirement Village is owned and operated by the Bethsaida Charitable Trust. A business plan valid until 2022 is reviewed each year and includes the vision, mission and core values of the service. Values include empathy, high quality care, professionalism, safety and security and knowledge and skills. Strengths, Weaknesses, Opportunities and Threats (SWOT) are regularly reviewed and the resulting information contributes to business objectives and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board member of the Trust was briefly interviewed during the audit and informed the facility manager provides the board with adequate information and keeps them updated on any emergent risks. The facility manager confirmed attendance at the Trust board meetings on the fourth Wednesday of each month when a written and verbal report is provided. These reports include a health and safety review and updates on occupancy, any staff issues, accidents and incidents, infection incidence, complaints and any essential notifications made.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holds nursing and management qualifications, has had previous relevant experience and has been in the role for more than eight years. Responsibilities and accountabilities are defined in a position description and an individual employment agreement. Ongoing professional development is being maintained as are ongoing links with the sector through attending in-house education, conferences and regional DHB meetings with the portfolio manage present and by participating in local nursing leadership groups. </w:t>
            </w:r>
          </w:p>
          <w:p w:rsidR="00EB7645" w:rsidRPr="00BE00C7" w:rsidP="00BE00C7">
            <w:pPr>
              <w:pStyle w:val="OutcomeDescription"/>
              <w:spacing w:before="120" w:after="120"/>
              <w:rPr>
                <w:rFonts w:cs="Arial"/>
                <w:b w:val="0"/>
                <w:lang w:eastAsia="en-NZ"/>
              </w:rPr>
            </w:pPr>
            <w:r w:rsidRPr="00BE00C7">
              <w:rPr>
                <w:rFonts w:cs="Arial"/>
                <w:b w:val="0"/>
                <w:lang w:eastAsia="en-NZ"/>
              </w:rPr>
              <w:t>Bethsaida Retirement Village holds contracts with the Nelson-Marlborough district health board to provide rest home and hospital services under the Aged Related Residential Care Agreement. At the time of audit, there were thirty seven residents receiving rest home level care, 13 hospital level and one person receiving respite rest home care. Prospective residents have already been allocated to the six beds not currently occupied. All beds are dual purpose, for the provision of either rest home or hospital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policies and procedures describe a quality and risk system that reflects the principles of continuous quality improvement. This includes monitoring, management and review of adverse events, infections, concerns/complaints, internal audit activities, health and safety, clinical services, food services, staffing, training, equipment and maintenance and resident and family feedback. A quality consultant provides support and advice on request for implementation of the quality and risk management system, in consultation with the managers develops service specific policy manuals and provides electronic platforms for the management of adverse events and infection surveillance.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Some clinical services such as infection control, restraint and adverse events are being monitored and evaluated and some internal audits are being completed. A residents’ survey was undertaken in February 2021; however no formal analysis of the feedback has been completed. There were examples of corrective actions being developed and these were effective for adverse event management but there were inconsistencies in the follow-up of these in other areas of the quality and risk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 and staff meeting minutes confirmed aspects of service delivery are being analysed and reviewed. However, three monthly quality and risk meetings have ceased, reviews of the organisation’s wider quality and risk system are no longer occurring, not all aspects of service delivery are being evaluated for quality improvement purposes, there are inconsistences in the follow-up of corrective actions developed, the internal audit schedule and feedback surveys is not being fully implemented and an organisational risk register is not available. These factors have been raised for corrective action against the relevant criteria.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meeting attendance, participating in training and complying with requests from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sample of policies reviewed as part of this surveillance audit cover all necessary aspects of the service and contractual requirements.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has some familiarity with the Health and Safety at Work Act (2015) and assists with implementation of its requirements.  In an effort to further improve clinical aspects of service delivery the clinical nurse manager has recently allocated the registered nurses with key responsibilities as coordinators. Examples of these include for health and safety, infection control, falls prevention, continence, pain and weight management, wound and skin care, restraint and staff training. Details have yet to be established.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report adverse and near miss events to a registered nurse who enters the information into a dedicated electronic portal. There was evidence of consistently completed recordings of events January to May 2021. Graphs that reflected variances in circumstances had been developed. The clinical nurse manager had analysed the information month by month and developed comprehensive and informative reports that included recommendations and corrective actions for follow-up. Individual incidents were also investigated with action plans/interventions developed and actions followed-up in a timely manner. Examples of follow-up included increased monitoring to prevent falls and/or skin tears and staff training such as for manual handling to reduce the incidence of skin tears. Adverse event data is collated, analysed and reported to registered nurse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the clinical nurse manager described how they work together to ensure essential notifications are completed on the relevant form when required. Documentation related to two service related Section 31 notifications plus one for the change of clinical manager that have been made since the last audit were 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developed in consultation with the quality consultant. Those reviewed are based on current good employment practice and relevant legislation. The recruitment process may or may not be in response to an advertised position; however, all applicants for employment are required to complete an initial application and have an entry interview with the relevant manager. Referee checks, police vetting and validation of qualifications and practising certificates (APCs), where required are then undertaken.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During interview, staff reported that the orientation process is adapted to suit the needs of the person, includes completion of a checklist and that time spent with a buddy may depend on previous work experience. Records in staff files show documentation of completed orientation requirements.  </w:t>
            </w:r>
          </w:p>
          <w:p w:rsidR="00EB7645" w:rsidRPr="00BE00C7" w:rsidP="00BE00C7">
            <w:pPr>
              <w:pStyle w:val="OutcomeDescription"/>
              <w:spacing w:before="120" w:after="120"/>
              <w:rPr>
                <w:rFonts w:cs="Arial"/>
                <w:b w:val="0"/>
                <w:lang w:eastAsia="en-NZ"/>
              </w:rPr>
            </w:pPr>
            <w:r w:rsidRPr="00BE00C7">
              <w:rPr>
                <w:rFonts w:cs="Arial"/>
                <w:b w:val="0"/>
                <w:lang w:eastAsia="en-NZ"/>
              </w:rPr>
              <w:t>A continuing education schedule is developed each year. The 2020 version includes a diverse range of topics of interest as well as mandatory training requirements. Care staff have either completed or commenced a New Zealand Qualification Authority education programme to meet the requirements of the provider’s agreement with the DHB. Two staff members are internal assessors for the programme and they described how they also manage the overall staff education programme.</w:t>
            </w:r>
          </w:p>
          <w:p w:rsidR="00EB7645" w:rsidRPr="00BE00C7" w:rsidP="00BE00C7">
            <w:pPr>
              <w:pStyle w:val="OutcomeDescription"/>
              <w:spacing w:before="120" w:after="120"/>
              <w:rPr>
                <w:rFonts w:cs="Arial"/>
                <w:b w:val="0"/>
                <w:lang w:eastAsia="en-NZ"/>
              </w:rPr>
            </w:pPr>
            <w:r w:rsidRPr="00BE00C7">
              <w:rPr>
                <w:rFonts w:cs="Arial"/>
                <w:b w:val="0"/>
                <w:lang w:eastAsia="en-NZ"/>
              </w:rPr>
              <w:t>All except one of the registered nurses are maintaining their annual competency requirements to undertake interRAI assessments. Records reviewed demonstrated completion of the required training, or their name is highlighted and the staff person is scheduled onto the next training slot. Staff undertake an annual performance appraisal with the relevant manager and records of these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policies and procedures include information for determining staffing levels and skill mixes to provide safe service delivery, 24 hours a day, seven days a week (24/7). The clinical nurse manager has developed an allocation book which designates the two wings each staff person will work on, when lunch breaks will be taken and who will do the medicine round, for example. The facility adjusts staffing levels to meet the changing needs of residents and registered nurses can request a staff person to extend their hours or call on an additional staff person when this is indicated. Residents and family interviewed were mostly satisfied with staff availability. Observations and review of a four-week roster cycle confirmed adequate staff cover has been provided, with staff replaced in any unplanned absence. There were very few absences recorded and staff spoke of working well as a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responds to after-hours enquiries related to management issues and the clinical nurse manager, or clinical care coordinator, is available for clinical enquiries. With all registered nurses and senior healthcare assistants having a current first aid certificate, there is always at least one person on duty who is first aid certificated. Two registered nurses are consistently rostered on both morning and afternoon shifts and one on the night shift. These are in addition to the clinical nurse manager and the clinical care coordinator who primarily work Monday to Friday morning shifts. Registered nurses and healthcare assistants informed there are adequate staff members on duty to undertake the allocated duties and there is always sufficient information and support available when necessary.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knowledge and had a clear understanding of their roles and responsibilities related to each stage of medicine management. Staff were reminded about always following policies and procedures for delivery of medication management. All staff, including registered nurses who administer medicines are competent to perform the function they manage. All RNs are syringe driver competent.</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Clinical pharmacist input is provided weekly, monthly and on request.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reviewed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All requirements for pro re nata (PRN) medicines were met. The required three-monthly GP review is consistently recorded on the electronic medicine chart.</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at the time of audit. Appropriate processes are in place to manage this in a safe manner if required.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qualified chef and kitchen team and is in line with recognised nutritional guidelines for older people. The menu follows summer and winter patterns and has been reviewed by a qualified dietitian within the last two years (20 May 2021). No recommendations were made at that time.</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Marlborough District Council current until 23 March 2022.  Food temperatures, including for high-risk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The kitchen works together with the DT to provide meals for theme days and special events.</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 in a respectful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Observations included viewing multiple examples of actions taken by the caregivers that demonstrated they were very familiar with the needs of the individual residents. Staff listened to requests from residents and ensured their safety when mobilising them or assisting them in some way. The attention to meeting a diverse range of resident’s individualised needs was evident in all areas of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verified that medical input is sought in a timely manner, that medical orders are followed, and care is of a high level. Care staff confirmed that care was provided as outlined in the documentation. In most instances they use handover to ensure they have the latest information and will ask a registered nurse if they are uncertain about anything. An interview with the aged residential care hospice nurse confirmed that they are contacted in a timely manner of residents as they reach the stage of palliative care and that they provide support to residents, family members and staff. They had no concerns about the standard of care of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equipment and resources was available, all of which was suited to the level of care provided and in accordance with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diversional therapist (DT) and activity coordinator. A volunteer chaplain visits regularly to provide holistic care and one to one support to residents.</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help develop both individual and group activities programmes that are meaningful to the residents. The resident’s activity needs are evaluated monthly and as part of the formal six-monthly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Individual, group activities and regular events are offered. Competitions are held with other local rest homes. All residents have a calendar in their rooms and an announcement is made over the intercom. Residents and families/whānau are involved in evaluating and improving the programme through residents’ meetings and satisfaction surveys.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reported in the progress notes. If any change is noted, it is reported to the registered nurse (RN).</w:t>
            </w:r>
          </w:p>
          <w:p w:rsidR="00EB7645" w:rsidRPr="00BE00C7" w:rsidP="00BE00C7">
            <w:pPr>
              <w:pStyle w:val="OutcomeDescription"/>
              <w:spacing w:before="120" w:after="120"/>
              <w:rPr>
                <w:rFonts w:cs="Arial"/>
                <w:b w:val="0"/>
                <w:lang w:eastAsia="en-NZ"/>
              </w:rPr>
            </w:pPr>
            <w:r w:rsidRPr="00BE00C7">
              <w:rPr>
                <w:rFonts w:cs="Arial"/>
                <w:b w:val="0"/>
                <w:lang w:eastAsia="en-NZ"/>
              </w:rPr>
              <w:t>A detailed care plan evaluation occurs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infections, wounds, continence and general health.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with an expiry date of 1 July 2021 is publicly displayed.  No alterations or modifications have been made to the building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appropriate to that recommended for long term care facilities and includes infections of the urinary tract, soft tissue, fungal, eye, gastro-intestinal and the upper and lower respiratory tract. All confirmed infections are documented into the electronic incident reporting system and become a component of the incident log. The infection prevention and control coordinator reviews all reported infections and any required management plans are discussed at handover, to ensure appropriate treatment is instituted.</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Graphs are produced that identify trends for the current year, and comparisons against previous years. Results of the surveillance programme are shared at registered nurse meetings and regular staff meetings. It is a meeting agenda item for quality and risk management meetings.  Data is benchmarked externally with other aged care providers and the results provide assurance that infection rates in the facility are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is the restraint coordinator and has been in the role for just over a year. As per the role description, the restraint coordinator provides support and oversight for enabler and restraint management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bedrails were in use as a restraint for one resident and a reclining cloud chair for another. A resident in hospital level care was voluntarily using bedrails as an enabler. All were of the least restrictive nature, were recorded in the restraint and enabler register and had been reviewed within the past six months.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interviews with staff. Staff undertake restraint training every two years and complete an annual restraint competency.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61"/>
        <w:gridCol w:w="1280"/>
        <w:gridCol w:w="5869"/>
        <w:gridCol w:w="1681"/>
        <w:gridCol w:w="16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management system which is understood and implemented by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quality and risk management system that uses a Plan, Do, Study, Act framework is described within the organisational policy and procedure manual. A series of staff meetings, including three monthly quality and risk committee meetings were regularly occurring. Recorded minutes of meetings of health care assistants, registered nurses and auxiliary staff were viewed; however, the last quality and risk meeting minutes were dated in March 2020. There was limited evidence that monitoring of the key elements of the quality and risk system had been re-instated following the COVID-19 lockdown. It was also evident during interview that the current quality and risk co-ordinator requires additional mentoring and support to undertake the role competently.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and risk management meetings/review processes have not all been re-established since March 2020; therefore, the documented quality and risk management system is not currently being implemented in a coordinated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system is reinstated as per the description in the organisation’s policies and procedures.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Key components of service delivery, including incidents, complaints, infection control, health and safety and restraint minimisation are being intermittently discussed and reported through meetings such as registered nurse and health care assistant meetings. This is not occurring as described within the organisation’s policies and procedures or the quality and risk plan. In the absence of a functioning quality and risk management system, there is also limited evidence to demonstrate these key components of service delivery are being monitored for quality improvement purposes and to ensure the safety of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a coordinated quality and risk management system, some key components of service delivery are not being linked into an organisational quality and risk management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Monitoring and review of key components of service delivery, including incidents, complaints, infection control, health and safety and restraint minimisation are reported through the quality and risk management system to enable ongoing quality improvement processes to be maintained.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system requires monitoring and review of adverse events, infection rates, concerns/complaints, internal audits, food services, staffing, training, equipment and maintenance. There is oversight of some aspects of the quality system including the review of incidents, accidents and adverse events. However, with a breakdown in quality reviews of the quality and risk management system, there are multiple gaps. For example, quality improvement processes are not evident, internal audits are not consistently occurring as per the schedule and although corrective actions are being developed for some identified shortcomings, it was not always possible to see how or if these had been followed up and closed. The word ‘ongoing’ is noted against both corrective actions and required improvements in meeting minutes, with no definitive directions.  Residents’ survey feedback has not been formally analysed for quality improvement purposes.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Reviews of the overall quality and risk management system have not occurred as per the policy. Quality review systems such as internal audits and resident/family surveys are not always occurring in a manner that contributes to quality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Processes that enable measurement of achievement against the quality and risk management plan require reinstatement.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Risk identification and risk management processes are described in the organisation’s risk management policies and plan. Severity assessment codes are in use for reviews of adverse events.  There is an updated hazard register and the risk management plan states risks are assessed under the headings of safety management, security management, hazardous materials, emergency preparedness and equipment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Presently, there is no organisational risk register to assist with risk management throughout the organisation’s operations. The ability to meet this standard is further compromised because the overall quality and risk management system of the organisation is not currently functional.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organisational risk register is not available; therefore, not all actual and potential risks are being identified, monitored, analysed, evaluated and reviewed at a frequency determined by the severity of the risk and the probability of change in the status of that risk.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organisational risk register that identifies risks to be monitored, analysed, evaluated, and reviewed according to severity of the risk and the probability of change in the status of that risk requires development.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Bethsaida Trust Board Incorporated - Bethsaida Retirement Village</w:t>
    </w:r>
    <w:bookmarkEnd w:id="58"/>
    <w:r>
      <w:rPr>
        <w:rFonts w:cs="Arial"/>
        <w:sz w:val="16"/>
        <w:szCs w:val="20"/>
      </w:rPr>
      <w:tab/>
      <w:t xml:space="preserve">Date of Audit: </w:t>
    </w:r>
    <w:bookmarkStart w:id="59" w:name="AuditStartDate1"/>
    <w:r>
      <w:rPr>
        <w:rFonts w:cs="Arial"/>
        <w:sz w:val="16"/>
        <w:szCs w:val="20"/>
      </w:rPr>
      <w:t>1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