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Kena Kena Rest Homes Limited - Kena Kena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Kena Kena Rest Homes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Kena Kena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May 2021</w:t>
      </w:r>
      <w:bookmarkEnd w:id="7"/>
      <w:r w:rsidRPr="009418D4">
        <w:rPr>
          <w:rFonts w:cs="Arial"/>
        </w:rPr>
        <w:tab/>
        <w:t xml:space="preserve">End date: </w:t>
      </w:r>
      <w:bookmarkStart w:id="8" w:name="AuditEndDate"/>
      <w:r w:rsidR="00A4268A">
        <w:rPr>
          <w:rFonts w:cs="Arial"/>
        </w:rPr>
        <w:t>11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Kena Kena has been owned by the directors for 24 years.  The service provides care for up to 41 residents requiring rest home level care.  On the day of the audit there were 39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and management.</w:t>
      </w:r>
    </w:p>
    <w:p w:rsidRPr="00A4268A">
      <w:pPr>
        <w:spacing w:before="240" w:line="276" w:lineRule="auto"/>
        <w:rPr>
          <w:rFonts w:eastAsia="Calibri"/>
        </w:rPr>
      </w:pPr>
      <w:r w:rsidRPr="00A4268A">
        <w:rPr>
          <w:rFonts w:eastAsia="Calibri"/>
        </w:rPr>
        <w:t>Kena Kena rest home is owned and operated by three directors.  Two of the directors are experienced registered nurses.  Residents and family interviewed were very complimentary of the service and care they receive at Kena Kena rest home.</w:t>
      </w:r>
    </w:p>
    <w:p w:rsidRPr="00A4268A">
      <w:pPr>
        <w:spacing w:before="240" w:line="276" w:lineRule="auto"/>
        <w:rPr>
          <w:rFonts w:eastAsia="Calibri"/>
        </w:rPr>
      </w:pPr>
      <w:r w:rsidRPr="00A4268A">
        <w:rPr>
          <w:rFonts w:eastAsia="Calibri"/>
        </w:rPr>
        <w:t xml:space="preserve">The service has an established quality and risk management system.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This audit has identified two areas requiring improvement around new staff processes and education.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adheres to the Health and Disability Commissioner’s Code of Health and Disability Consumers’ Rights (the Code).  The personal privacy and values of residents are respected.  There is an established Māori health plan in place.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residents at times that meet their needs.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monthly reviews.  Quality and risk data is collected, analysed and discussed, and changes made as a result of trend analysis.  Corrective actions are implemented and evaluated where opportunities for improvements are identified.  </w:t>
      </w:r>
    </w:p>
    <w:p w:rsidRPr="00A4268A">
      <w:pPr>
        <w:spacing w:before="240" w:line="276" w:lineRule="auto"/>
        <w:rPr>
          <w:rFonts w:eastAsia="Calibri"/>
        </w:rPr>
      </w:pPr>
      <w:r w:rsidRPr="00A4268A">
        <w:rPr>
          <w:rFonts w:eastAsia="Calibri"/>
        </w:rPr>
        <w:t>Residents receive appropriate services from suitably qualified staff.  There are robust human resource policies in place.  An orientation programme is in place for new staff.  Ongoing education for staff is provided.</w:t>
      </w:r>
    </w:p>
    <w:p w:rsidRPr="00A4268A">
      <w:pPr>
        <w:spacing w:before="240" w:line="276" w:lineRule="auto"/>
        <w:rPr>
          <w:rFonts w:eastAsia="Calibri"/>
        </w:rPr>
      </w:pPr>
      <w:r w:rsidRPr="00A4268A">
        <w:rPr>
          <w:rFonts w:eastAsia="Calibri"/>
        </w:rPr>
        <w:t xml:space="preserve">The service is staffed well.  Residents and families reported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care plans are resident, and goal orientated.  Care plans were evaluated six-monthly.  Input from the resident/family is evident in the service delivery.  Files sampled identified integration of allied health and a team approach is evident in the overall resident file.  There is a three-monthly general practitioner review.  Residents and family interviewed confirmed that they were happy with the care provided and the communication.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activities programme.  </w:t>
      </w:r>
    </w:p>
    <w:p w:rsidRPr="00A4268A" w:rsidP="00621629">
      <w:pPr>
        <w:spacing w:before="240" w:line="276" w:lineRule="auto"/>
        <w:rPr>
          <w:rFonts w:eastAsia="Calibri"/>
        </w:rPr>
      </w:pPr>
      <w:r w:rsidRPr="00A4268A">
        <w:rPr>
          <w:rFonts w:eastAsia="Calibri"/>
        </w:rPr>
        <w:t xml:space="preserve">The medication systems, processes and practices are in line with the legislation and contractual requirements.  Medication charts were reviewed. The general practitioner completed regular and timely medical reviews of residents and medicines.  Medication competencies were completed annually for all staff that administered medications. </w:t>
      </w:r>
    </w:p>
    <w:p w:rsidRPr="00A4268A" w:rsidP="00621629">
      <w:pPr>
        <w:spacing w:before="240" w:line="276" w:lineRule="auto"/>
        <w:rPr>
          <w:rFonts w:eastAsia="Calibri"/>
        </w:rPr>
      </w:pPr>
      <w:r w:rsidRPr="00A4268A">
        <w:rPr>
          <w:rFonts w:eastAsia="Calibri"/>
        </w:rPr>
        <w:t>Residents' food preferences and dietary requirements are identified at admission and all meals cooked on site.  The kitchen is well equipped for the size of the service.  Food, fluid, and nutritional needs of residents are provided in line with recognised nutritional guidelines and additional requirements/modified needs were being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Policies and procedures are in place for essential, emergency and security services, with adequate supplies should a disaster occur.  There is staff on duty 24/7 and on outings with a current first aid certificate.  </w:t>
      </w:r>
    </w:p>
    <w:p w:rsidRPr="00A4268A">
      <w:pPr>
        <w:spacing w:before="240" w:line="276" w:lineRule="auto"/>
        <w:rPr>
          <w:rFonts w:eastAsia="Calibri"/>
        </w:rPr>
      </w:pPr>
      <w:r w:rsidRPr="00A4268A">
        <w:rPr>
          <w:rFonts w:eastAsia="Calibri"/>
        </w:rPr>
        <w:t xml:space="preserve">The building holds a current warrant of fitness.  The preventative and reactive maintenance programme includes equipment and electrical checks.  All resident bedrooms provide single accommodation with wash hand basins except for one room and the nine units which have full ensuite facilities.  Residents' bedrooms were personalised and of adequate size.  Lounges, dining areas and various other small lounges or seating areas are available for residents to sit.  External areas are safe and well maintained.  An appropriate call bell system is available and security systems are in place.  Chemicals are stored safely throughout the facility.  Appropriate policies are available along with product safety charts.  Cleaning and laundry services are well monitored through the internal auditing system.  Appropriate training, information and equipment for responding to emergencies are provided.  There is an approved evacuation scheme and emergency supplies for at least three days.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regularly receive training around restraint minimisation and the management of challenging behaviour.  There are three resident requiring  restraints  and no enablers in use.  There are processes, policies and procedure around restraint, and these are implemented.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owner/director/RN nurse manager has responsibility for infection control and collates the monthly infection data.  The infection control coordinator has completed infection control training and coordinates education and training for staff.  There is a suite of infection control policies and guidelines to support practice.  Information obtained through surveillance is used to determine infection control activities and education needs within the facility.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00"/>
        <w:gridCol w:w="1280"/>
        <w:gridCol w:w="88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and residents are provided with information on admission which includes information about the Health and Disability Commissioner’s (HDC) Code of Health and Disability Consumers’ Rights (the Code).  Staff receive training about resident rights at orientation and as part of the annual in-service programme.  Interviews with three managers: two registered nurse directors (nurse managers) and one operations manager) and eight staff (four caregivers, one registered nurse (RN), one cook, one housekeeper, and one diversional therapist) reflected their understanding of the Code with examples provided of how it is applicable to their job role and responsibilities.  Six residents and three relatives interviewed confirmed that staff respect their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informed consent is gained for general consents and were sighted in the seven resident files sampled.  Written consent is also gained for specific procedures such as the influenza vaccine.  Resuscitation status had been signed appropriately.  Residents interviewed confirmed they were given good information to be able to make informed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 family are involved with the consent of the resident.  Enduring power of attorney (EPOA) documents were sighted on the resident's files reviewed.  Discussion with family identified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Residents are supported and encouraged to remain involved in the community with examples provided.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made available at reception.  Information about complaints is also provided on admission.  Interviews with residents and families confirmed their understanding of the complaints process.  The nurse manager was able to describe the process around reporting complaints, which complies with requirements set forth by the Health and Disability Commissioner (HDC).</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available.  Two verbal complaints for 2020 were fully addressed.  One complaint for 2021 was regarding the laundry (which has been refurbished).  The complaints process is linked to quality and risk management processes and quality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information pack given to prospective residents and families that includes information about the Code and their right to make a complaint.  There is the opportunity to discuss aspects of the Code during the admission process.  Residents and relatives interviewed confirmed that information is provided to them about the Code.  The  registered nurse / nurse manager discusses the information pack with residents/relatives on admission.  Families and residents are informed of the scope of services and any liability for payment for items not included in the scope.  This is included in the service agreement and the ORA agreement for the residents in the studio units.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are areas that support personal privacy for residents.  Resident rooms are large with ample room for visitors.  Staff were observed to be respectful of residents’ privacy by knocking on doors prior to entering resident rooms.  Caregivers were able to describe definitions around abuse and neglect.  Residents and relatives interviewed confirmed that staff treat residents with respect.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preferences are identified during the admission and care planning process and include family involvement.  Interviews with residents and family confirmed their values and beliefs are considered.  This was also evidenced in the residents’ files reviewed.  Caregivers interviewed described how choice is incorporated into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provides recognition of Māori values and beliefs.  There are four residents who identify as Māori.  Several staff are able to converse in te reo Māori.  Māori holidays are celebrated (e.g., Waitangi Day).  Family/whānau involvement is encouraged in assessment and care planning and visiting is encouraged.  Cultural needs are assessed during the admission process and are addressed in the care plan.  One resident who identified as Māori confirmed their individual needs were being met by the service.  Staff were observed greeting residents in te reo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 are invited to be involved.  Individual beliefs or values are discussed and incorporated into the care plan.  Six monthly multidisciplinary team meetings occur to assess if needs are being met.  Family are invited to attend.  Discussions with relatives confirmed that residents’ values and beliefs are considered.  Residents interviewed confirmed that staff take into account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monthly staff meetings include discussions around professional boundaries and concerns as they arise.  Minutes are shared with all staff.  Interviews with the managers and care staff confirmed their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nurse managers and the operation manager are committed to providing services of a high standard; staff interviewed described the family approach to care and the high standard of care.  This was observed during the day with the staff demonstrating a very caring attitude to the residents.  Residents interviewed stated they are very happy with the level of care provided.  Policies and procedures are developed by a contractor.  The policies and procedures meet legislative requirements.  There is a verbal and written handover for every shift that details any significant events.  An electronic communication system is used to ensure staff are kept informed on daily matters.  </w:t>
            </w:r>
          </w:p>
          <w:p w:rsidR="00EB7645" w:rsidRPr="00BE00C7" w:rsidP="00BE00C7">
            <w:pPr>
              <w:pStyle w:val="OutcomeDescription"/>
              <w:spacing w:before="120" w:after="120"/>
              <w:rPr>
                <w:rFonts w:cs="Arial"/>
                <w:b w:val="0"/>
                <w:lang w:eastAsia="en-NZ"/>
              </w:rPr>
            </w:pPr>
            <w:r w:rsidRPr="00BE00C7">
              <w:rPr>
                <w:rFonts w:cs="Arial"/>
                <w:b w:val="0"/>
                <w:lang w:eastAsia="en-NZ"/>
              </w:rPr>
              <w:t>The building has recently been refurbished with new carpet, painting, a new laundry and a refurbished kitchen.  An electronic assessment and care planning system has been introduced.  Staff have all received training in its use and the system is being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accident/incident reporting policy to guide staff in their responsibility around open disclosure.  Staff are required to record family notification when entering an incident into the system.  All ten incident/accident reports reviewed meet this requirement.  Families interviewed confirmed they are notified following a change of health status and/or accident/incident of their family member.  There is an interpreter policy in place and contact details of interpreters are available.  At the time of the audit, all residents spoke fluent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been owned by the directors for 24 years.  The directors also own another rest home facility (Kapiti) which is located nearby.  The service provides care for up to 41 residents requiring rest home level care.  On the day of the audit there were 39 residents, including one under the long-term chronic health condition contract and younger person under a residential disability contract, the remainder were funded through the age-related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One owner/director is the nurse manager for Kena Kena, and a second owner/director is the nurse manager for Kapiti and on site daily for a director/management handover.  The third owner/director has responsibility for property and maintenance for both sites.  All owner/directors have many years’ experience in the aged care industry.  They are supported by an operations manager responsible for non-clinical services, human resources and accounts/administrative duties.  A part-time RN is employed for three days a week at Kena Kena (RN duties and interRAI).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business plan for 2021 that includes the service mission statement “to provide a safe, family style environment for each resident” focusing on “safety, companionship, fun, purpose, respect and dignity”.  The business plan includes continued environmental refurbishment.  The previous year’s plan included upgrades to the kitchen and laundry and implementing an electronic assessment and care planning system, which was in place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has attended at least eight hours of professional development relating to her role.  The operations manager has a bachelor’s degree in business management and human resources.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owner/directors/nurse managers of each facility along with the registered nurse provide cover for each other’s absence.  They also share the on-call requirement.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documented quality/risk management plan is in place. The services policies are purchased from an external contractor who publishes updates as needed.  Staff are informed regarding policy changes at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aspects of service delivery.  There are clear guidelines and templates for reporting.  The facility collects, analyses and evaluates a range of data (e.g., falls, infections, pressure injuries, medication errors, restraint use, incidents, skin tears).  Results are utilised for service improvements.  Internal audits are conducted as per the internal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include resident meetings, two monthly quality meetings and two to three monthly staff meetings.  Minutes reviewed identified that quality data is shared with staff.  </w:t>
            </w:r>
          </w:p>
          <w:p w:rsidR="00EB7645" w:rsidRPr="00BE00C7" w:rsidP="00BE00C7">
            <w:pPr>
              <w:pStyle w:val="OutcomeDescription"/>
              <w:spacing w:before="120" w:after="120"/>
              <w:rPr>
                <w:rFonts w:cs="Arial"/>
                <w:b w:val="0"/>
                <w:lang w:eastAsia="en-NZ"/>
              </w:rPr>
            </w:pPr>
            <w:r w:rsidRPr="00BE00C7">
              <w:rPr>
                <w:rFonts w:cs="Arial"/>
                <w:b w:val="0"/>
                <w:lang w:eastAsia="en-NZ"/>
              </w:rPr>
              <w:t>Annual resident surveys have been conducted, outcomes of meetings have been communicated to respondents and to staff.  The survey undertaken February 2021,  documented increased satisfaction compared with 2020 around staff availability, and catering.   Corrective action plans have been commenced for laundry services, with plans documented for cleaning.</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The nurse manager is the health and safety representative.  There are procedures to guide staff in managing clinical and non-clinical emergencies.  The service documents and analyses incidents/accidents, unplanned or untoward events and provides feedback to the service and staff so that improvements are made.  External contractors and new staff undergo health and safety training during their orientation.  Staff continue with regular health and safety training.  Health and safety is a regular agenda item in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(but not limited to): sensor mats, increased monitoring for those residents at high risk of falling, and the identification and meeting of individual resident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eight fall related incident/accident forms identified that the incident/accident forms are fully completed and include follow-up by a registered nurse, including neurological observations.  The incidence of falls has decreased from an average of eight falls a month March and April 2020 to an average of  5.6 for March and April 2021, with an overall downward trend over the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and operations manager were able to identify situations that would be reported to statutory authorities.  There have been no outbreaks since the previous audit.  A Section 31 report has been completed for an RN shortage for interRAI (2020) and a missing controlled drug (March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Nine staff files reviewed (one RN, one cook and seven caregivers) evidenced signed employment contracts and job descriptions and completed orientation programmes.  Reference checking for new staff was not always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performance appraisals that begin during the new staff’s orientation.  The orientation programme provides new staff with relevant information for safe work practice.  Orientation is specific to the individual’s job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Current registered nursing staff and external health professionals (general practitioners, physiotherapist, pharmacists, podiatrist) practising certificates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and training plan that exceeds eight hours annually per staff member.  Training is primarily evidenced through subject-specific questionnaires; however, most staff questionnaires have not been signed off as achieved.  A register for each training session and an individual staff member record of training was verified.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have completed interRAI training.  Caregivers are supported to achieve their Careerforce qualifications.  There are five caregivers with level four, ten at level three, and one at level one.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Rosters implement the staffing rationale.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roster that provides sufficient and appropriate coverage for the effective delivery of care and support across the three wings (Peach – 13 beds, Lemon – 8 beds and Pink – 10 beds) and the nine studio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on site five days per week.  The part-time RN works three days per week.  There are six caregivers on the morning shift (two full and four short shifts), four on the afternoon shift (two full and two short shift) and two caregivers on night shift with an on-call person.  There is a designated cleaning person.  Care staff complete laundry duties.   </w:t>
            </w:r>
          </w:p>
          <w:p w:rsidR="00EB7645" w:rsidRPr="00BE00C7" w:rsidP="00BE00C7">
            <w:pPr>
              <w:pStyle w:val="OutcomeDescription"/>
              <w:spacing w:before="120" w:after="120"/>
              <w:rPr>
                <w:rFonts w:cs="Arial"/>
                <w:b w:val="0"/>
                <w:lang w:eastAsia="en-NZ"/>
              </w:rPr>
            </w:pPr>
            <w:r w:rsidRPr="00BE00C7">
              <w:rPr>
                <w:rFonts w:cs="Arial"/>
                <w:b w:val="0"/>
                <w:lang w:eastAsia="en-NZ"/>
              </w:rPr>
              <w:t>Staff are visible and attend to call bells in a timely manner as confirmed by all residents and relatives interviewed.  Staff interviewed stated that overall, the staffing levels are satisfactory and that the RN and nurse manager provides good support.  Residents and relatives interviewed reported there are sufficient staff numbers.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is available on call if required.  There is low staff turnover as reported by the care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held electronically using Leecare Solutions.  They are protected from unauthorised access.  Entries are computerised, dated and include the relevant caregiver or nurse including their designation.  Individual resident files demonstrated service integration.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are provided for families and residents prior to admission.  Admission agreements reviewed align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to describe guidelines for death, discharge, transfer, documentation and follow-up.  A record is kept, and a copy of details is kept on the resident’s file.  All relevant information is documented and communicated to the receiving health provider or service.  The manager/registered nurse verbalised that telephone handovers are conducted for all transfers to other providers.  The residents and their families were involved for all exit or discharges to and from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RNs, and senior caregivers who administer medications complete annual medication competencies.  Annual in-service education on medication is provided by the pharmacist (the most recent November 2020).  Medications (blister packs) are checked on delivery against the medication chart and any discrepancies fed back to the pharmacy.  All medications are stored safely in the locked treatment room.  Standing orders are not used.  There were no self-medicating residents on the day of audit.  The medication fridge and the treatment room are monitored daily.  All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pharmacy generated medication charts were reviewed.  All medication charts had photo identification and an allergy status.  The GP reviews the medication charts at least three-monthly.  The administration records reviewed on the electronic medication administration system identified medications had been administered as prescribed.  Prescribed ‘as required’ medications include the indication for use.  The dose and time given is recorded on the electronic medication administration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administrating medicines safely.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is prepared and cooked on site at Kena Kena Rest Home.  There are three cooks that cover the seven-day week.  Cooks have completed food safety units.  Tea staff are rostered on duty in the afternoons to cover the evening meal.  There is a five-weekly rotating menu that has been reviewed by a dietitian (August 2019).  A food safety plan expires November 2021.  The meals are served from the kitchen directly to residents in the adjacent dining room.  The cook receives notification of any resident dietary changes and requirements.  Dislikes and food allergies are known and accommodated.  The meals were well-presented, and residents confirmed that they are provided with alternative meals as per request.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were recorded daily.  Food temperatures had been taken and recorded daily.  A cleaning schedule is maintained.  All containers of food stored in the pantry are labelled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or nurse manager completes an initial assessment on admission including risk assessment tools as appropriate.  An interRAI assessment is undertaken within 21 days of admission and six-monthly, or earlier due to health changes for long-term residents.  Resident needs and supports are identified through the ongoing assessment process in consultation with the resident and significant others and form the basis of the long-term care plan.  The long-term care plans reflect the outcome of the assessments.  Additional assessments were sighted in the resident’s file including the medical assessment completed by the GP and individual social assessment and plan completed by the diversional 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plan of care was developed on admission.  Residents’ long-term care plans reviewed were resident-focused and individualised and developed within three weeks of admission.  Care plans reviewed had been evaluated for identified issues and interventions were included in sufficient detail to guide care staff.  Relatives and residents interviewed confirmed they were involved in the care planning process.  Long-term care plans evidenced resident and/or relative and staff input into the development of care plans.  Care plans are reviewed six monthly and updated to reflect changes to supports/needs.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sighted for short-term needs and these were either resolved or if an ongoing problem, transferred to the long-term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allied health care professionals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or nurse specialist consultation.  There is evidence that family members were notified of any changes to their relative’s health including (but not limited to) accident/incidents, infections, health professional visits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Wound management policies and procedures are in place.  A wound assessment and wound care plan (include dressing type and evaluations on change of dressings) were in place for one unstageable pressure injury and one stage one, a surgical wound (skin graft and donor site) and a skin tear.  There is access to a wound nurse specialist and DHB plastics department for advice for wound management.</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The residents’ files include a urinary continence assessment, bowel management plan, and continence products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food intake and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is led by a diversional therapist and two activity staff who between them, provide a programme over six days a week.  The activity programme is planned in advance and residents have copies in their rooms with the current week displayed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 (but are not limited to); newspaper reading, walks, quizzes and word games, bowls and weekly happy hour with entertainment.  There are also van trips, trip to the cinema, stroke club, and library.  There are visits from the kindergarten, schools and the kapa haka group.  For the younger person, there are trips to cafés, clubs, hot chips and family trips.  Other residents also join in.  One-on-one time is spent with residents who prefer to stay in their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assessment completed over the first few weeks after admission, obtaining a complete history of past and present interests, career, family etc.  A leisure care plan and social activity is completed for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provide residents and relatives an opportunity to provide feedback on the activity programme.  Residents and relatives interviewed were satisfied with the activities provided.  Residents were observed participating in activities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were evaluated by the RNs within three weeks of admission and a long-term care plan developed.  Long-term care plans had been evaluated six- monthly for all of the seven resident files reviewed.  Written evaluations identified if the desired goals had been met or unmet.  The GP reviews the residents at least three monthly or earlier if required.  Short-term care plans reviewed had been evaluated at regular intervals.  Daily progress notes were completed by the caregivers with regular input by the RN or manager.  Progress notes reflected daily response to interventions and treatments.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Referral to other health and disability services is evident in the residents’ files sampled.  The service facilitates access to other medical and non-medical services.  Referral documentation is maintained on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 families are kept informed of the referrals made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and products charts are readily accessible for staff.  Chemical bottles sighted have correct manufacturer labels.  Chemicals are stored safely in laundry and housekeeping areas. Personal protective clothing is available for staff and was observed being worn by staff as they were carrying out their duties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operations manager who oversees the facility operation and maintenance at Kena Kena and the sister home.  One of the three directors is the onsite maintenance person.  External contractors are used for plumbing, electrical and other specialist areas.  There is a maintenance programme in place that ensures buildings, plant and equipment are maintained to an adequate standard.  Planned and reactive maintenance systems were in place and documentation to support this was reviewed.  Calibration reports for medical equipment were reviewed along with electrical safety tags on electrical items.  Hot water temperatures are monitored monthly and are maintained at a safe temperature.  Documentation and observations evidenced a current building warrant of fitness displayed that expires 4 June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several well-maintained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The RN and care staff interviewed stated they have sufficient equipment including mobility aids, wheelchairs and pressure injury resources, and a hoist (for use in the case of falls and one for standing transfers) to safely deliver the cares as outlined in the residents’ care plans.  Residents interviewed confirmed they are able to move freely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hand basins and one room in the peach wing has a full ensuite.  The nine studio units have full ensuite facilities.  There are communal toilets and showers for those in rooms without an ensuite.  Communal shower/toilets have privacy locks and a system that indicates if it is vacant or occupied.  Residents confirmed staff respect their privacy while attending to their hygiene cares.  Appropriately secured and approved handrails are provided along with other equipment/accessories that are required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in the peach, pink and lemon wings are single.  The nine rooms in the units are large enough to accommodate two people should a couple wish to share.  Each resident room has individual furnishings and décor.  There is adequate room for residents to safely manoeuvre using mobility aids.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dining area, several lounges and a foyer.  There are small lounges attached to each wing and a shared dining room and lounge in the studio wing.  All furniture is safe and suitable for the residents.  Communal areas are easily accessible to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Chemicals are stored safely in locked cupboards when not in use.  Manufacturer’s data safety charts are available.  All linen and personal clothing is laundered on site by care staff.  The care staff described the management of laundry including the transportation, sorting, storage, laundering, and the return of clean laundry to the residents.  The effectiveness of the cleaning and laundry processes are monitored through internal audits, resident meetings and surveys.  There are dedicated cleaners to carry out cleaning duties throughout Kena Kena.  Cleaning trolleys are stored safely when not in use.  Residents and relatives interviewed were satisfied with the laundry service and cleanliness of the communal areas and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disaster policies and procedures are documented for the service.  There is an evacuation scheme that has been approved by the fire service.  Fire drills occur every six months.  The orientation programme and annual education/training programme include fire and security training.  A civil defence plan is documented for the service.  There are adequate supplies available in the event of a civil defence emergency including food, water (600 litre outdoor tank and an emergency water supply stored in a tank underground.  There is a generator on site and directions to use should this water be required.  Emergency civil defence supplies are all checked six-monthly.  A gas BBQ is available for alternate cooking.  There is emergency lighting, and the service has the above mentioned generator.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including all resident rooms and communal areas.  Residents were observed in their rooms with their call bell in close proximity.  The building is secure after hours with all external doors alarmed and linked to the call bell system.  One afternoon shift staff member and the night shift person wear a security pendant that is linked to a local security company.  There is a minimum of one staff member available 24 hours a day, seven days a week with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safe ventilation, and an environment that is maintained at a safe and comfortable temperature.  Residents and family interviewed confirmed the facility is maintained at an appropriate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has overall responsibility for infection control and the collation of infection events.  She is supported by the nurse manager of the sister home and the registered nurse.  The infection control policies and procedures are reviewed two yearly (2020) and the programme is reviewed annually.  Advice and guidelines relating to Covid from the DHB and Ministry of Health had been incorporated in the 2020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and staff are offered the influenza vaccine.  There have been no outbreaks since the previous audit.  Management understood requirements relating to notification should an outbreak occur.    </w:t>
            </w:r>
          </w:p>
          <w:p w:rsidR="00EB7645" w:rsidRPr="00BE00C7" w:rsidP="00BE00C7">
            <w:pPr>
              <w:pStyle w:val="OutcomeDescription"/>
              <w:spacing w:before="120" w:after="120"/>
              <w:rPr>
                <w:rFonts w:cs="Arial"/>
                <w:b w:val="0"/>
                <w:lang w:eastAsia="en-NZ"/>
              </w:rPr>
            </w:pPr>
            <w:r w:rsidRPr="00BE00C7">
              <w:rPr>
                <w:rFonts w:cs="Arial"/>
                <w:b w:val="0"/>
                <w:lang w:eastAsia="en-NZ"/>
              </w:rPr>
              <w:t>In August 2020 a full day of education was held – the topic covered ‘Infection Control and Management in a Viral world’   During 2020 the DHB &amp; MOH guidelines were followed and a skype meeting with the DHB was held on preparedness for an outbreak.  The IC nurse from the DHB visited the site to determine readiness for an outbreak.  Suggestions were followed and a plan to isolate one section of the home(Peach wing) should there be an outbreak was prepared.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an infection control &amp; management days study in August 2020.  There is access to infection control expertise within the CCDHB, wound nurse specialist, infection control reference manual and laboratory services.  The GP monitors the use of antibiotics.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have been developed by an aged care consultant and reflect best practice.  There is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and hand hygiene is included in staff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monthly quality assurance meeting with representatives from each service area.  Meeting minutes are available to staff who read and sign to declare they have read them.  The service completes monthly and annual comparisons of infection rates for types of infections.  Trends are identified, analysed and preventative measures put in place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strategies have been ineffective.  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were three residents with restraints including one bedrail and three brief restraint (one resident had two)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(the nurse manager)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restraint coordinator in partnership with the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residents’ files where restraints were in use were selected for review.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family and the GP.  The use of restraint is linked to the residents’ care plans.  Internal restraint audits measure staff compliance in following restraint procedures.  Each episode of restraint is monitored at least two hourly and the residents are most commonly in the main lounge with the care staff during the day.  Monitoring was consistently and accurately documented on the restraint monitoring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all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Two resident files where restraint was in use documented a monthly review through the quality meetings, three monthly GP review and six-monthly review as part of the care plan evaluations with family.  There is also a three-monthly individual audit for each resident to ensure that processes are in place, to review if any accidents/incidents have occurred and if there has been any impact culturally or on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reviewed as part of the policy review process and as part of the quality meetings.  Restraint education and training is completed annually.  Internal restraint audits are completed monthly.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7"/>
        <w:gridCol w:w="1280"/>
        <w:gridCol w:w="4340"/>
        <w:gridCol w:w="3563"/>
        <w:gridCol w:w="15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Nine staff files were reviewed and all documented signed employment contracts and job descriptions and completed orientation programmes.  Reference checking for new staff was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nine staff files, seven were for staff who had been employed since the previous audit.  Of the seven, three did not document that reference checks were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reference checks are documented for all new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 documented and staff most commonly evidence training through the completion of subject-specific questionnaires.  Most questionnaires had not been signed as achieved.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nine staff files reviewed all had instances of education questionnaires with no checks or sign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staff education questionnaires are checked and signed off.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Kena Kena Rest Homes Limited - Kena Kena Rest Home</w:t>
    </w:r>
    <w:bookmarkEnd w:id="58"/>
    <w:r>
      <w:rPr>
        <w:rFonts w:cs="Arial"/>
        <w:sz w:val="16"/>
        <w:szCs w:val="20"/>
      </w:rPr>
      <w:tab/>
      <w:t xml:space="preserve">Date of Audit: </w:t>
    </w:r>
    <w:bookmarkStart w:id="59" w:name="AuditStartDate1"/>
    <w:r>
      <w:rPr>
        <w:rFonts w:cs="Arial"/>
        <w:sz w:val="16"/>
        <w:szCs w:val="20"/>
      </w:rPr>
      <w:t>10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