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Blockhouse Bay Healthcare Limited - Blockhouse Bay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Blockhouse Bay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Blockhouse Bay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May 2021</w:t>
      </w:r>
      <w:bookmarkEnd w:id="7"/>
      <w:r w:rsidRPr="009418D4">
        <w:rPr>
          <w:rFonts w:cs="Arial"/>
        </w:rPr>
        <w:tab/>
        <w:t xml:space="preserve">End date: </w:t>
      </w:r>
      <w:bookmarkStart w:id="8" w:name="AuditEndDate"/>
      <w:r w:rsidR="00A4268A">
        <w:rPr>
          <w:rFonts w:cs="Arial"/>
        </w:rPr>
        <w:t>26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Blockhouse Bay provides rest home and hospital level care for up to 64 residents. The service is one of two privately owned and operated by the same provider. It is managed by a registered nurse (manager).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 visiting physiotherapist and a general practitioner (GP)</w:t>
      </w:r>
    </w:p>
    <w:p w:rsidRPr="00A4268A">
      <w:pPr>
        <w:spacing w:before="240" w:line="276" w:lineRule="auto"/>
        <w:rPr>
          <w:rFonts w:eastAsia="Calibri"/>
        </w:rPr>
      </w:pPr>
      <w:r w:rsidRPr="00A4268A">
        <w:rPr>
          <w:rFonts w:eastAsia="Calibri"/>
        </w:rPr>
        <w:t xml:space="preserve">This audit identified one area of improvement relating to the provision of staff for activities and cleaning.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complaints management system meets the requirements of the Code and is known by staff, residents and their families. Residents and family members interviewed reported that the manager immediately responds to and addresses any concerns they raise.</w:t>
      </w:r>
    </w:p>
    <w:p w:rsidRPr="00A4268A">
      <w:pPr>
        <w:spacing w:before="240" w:line="276" w:lineRule="auto"/>
        <w:rPr>
          <w:rFonts w:eastAsia="Calibri"/>
        </w:rPr>
      </w:pPr>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w:t>
      </w:r>
    </w:p>
    <w:p w:rsidRPr="00A4268A">
      <w:pPr>
        <w:spacing w:before="240" w:line="276" w:lineRule="auto"/>
        <w:rPr>
          <w:rFonts w:eastAsia="Calibri"/>
        </w:rPr>
      </w:pPr>
      <w:r w:rsidRPr="00A4268A">
        <w:rPr>
          <w:rFonts w:eastAsia="Calibri"/>
        </w:rPr>
        <w:t>Monitoring of the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Care staff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There is a current building warrant of fitness. Electrical equipment is tested as required. Communal and individual spaces are maintained at a comfortable temperature. External areas are accessible to residents with shade and seating provided.</w:t>
      </w:r>
    </w:p>
    <w:p w:rsidRPr="00A4268A">
      <w:pPr>
        <w:spacing w:before="240" w:line="276" w:lineRule="auto"/>
        <w:rPr>
          <w:rFonts w:eastAsia="Calibri"/>
        </w:rPr>
      </w:pPr>
      <w:r w:rsidRPr="00A4268A">
        <w:rPr>
          <w:rFonts w:eastAsia="Calibri"/>
        </w:rPr>
        <w:t>Waste and hazardous substances are safely managed. Staff use protective equipment and clothing. Soiled linen and equipment are safely stored. Laundry is undertaken onsite.</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w:t>
      </w:r>
    </w:p>
    <w:p w:rsidRPr="00A4268A">
      <w:pPr>
        <w:spacing w:before="240" w:line="276" w:lineRule="auto"/>
        <w:rPr>
          <w:rFonts w:eastAsia="Calibri"/>
        </w:rPr>
      </w:pPr>
      <w:r w:rsidRPr="00A4268A">
        <w:rPr>
          <w:rFonts w:eastAsia="Calibri"/>
        </w:rPr>
        <w:t>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Six restraints and no enablers were in use at the time of the audit. Use of enablers is voluntary for the safety of residents in response to individual requests. A comprehensive assessment, approval and monitoring process occurs. Regular evaluation and review of restraint use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46"/>
        <w:gridCol w:w="1280"/>
        <w:gridCol w:w="92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Blockhouse Bay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manager provided examples of the involvement of Advocacy Services in relation to staff training and resident information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shopping trips,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of Health and Disability Services Consumers’ Rights (the Code). Information on the complaint process is provided to residents and families on admission and those interviewed said they understood and wouldn’t hesitate to raise concerns or complaints.</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showed 11 written complaints and 7 verbal complaints had been received since the new Facility Manager (FM) took over in October 2020.  Each complaint had been acknowledged in writing, investigations were carried out and where possible remedial actions were taken through to an agreed resolution within acceptable timeframes. The complainant signs that are satisfied with the outcomes.  A family member and a resident who had both been involved in separate complaints said they felt their concerns were taken seriously by the FM who had responded in a timely and appropriate way. They commented that suitable actions had been taken The FM is responsible for complaints management and follow up. All staff interviewed confirmed a sound understanding of the complaint process and what actions are required. There have been no complaints investigations by the DHB or the Office of the Health and Disability Commissioner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and during discussions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Blockhouse Bay Home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whanau.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district health board. Also, multilingual communication cards were developed to help communicating with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year business plan outlines the purpose, values, scope, direction and goals of the organisation. Interviews and review of meeting minutes confirmed that the goals and objectives are reviewed for progress at three monthly management meetings. The FM also submits written monthly reports to the owners. A sample of these showed adequate information to monitor performance is reported including financial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registered nurse who holds relevant qualifications and has been in the role for seven months. This person has extensive experience in aged care as a clinical manager and acting facility manager. Responsibilities and accountabilities are defined in their job description and individual employment agreement. The manager confirmed knowledge of the sector, regulatory and reporting requirements and achieves at least eight hours a year of ongoing education through attendance at in service, and off-site meetings related to aged care management. Currently the FM is overseeing all clinical care.</w:t>
            </w:r>
          </w:p>
          <w:p w:rsidR="00EB7645" w:rsidRPr="00BE00C7" w:rsidP="00BE00C7">
            <w:pPr>
              <w:pStyle w:val="OutcomeDescription"/>
              <w:spacing w:before="120" w:after="120"/>
              <w:rPr>
                <w:rFonts w:cs="Arial"/>
                <w:b w:val="0"/>
                <w:lang w:eastAsia="en-NZ"/>
              </w:rPr>
            </w:pPr>
            <w:r w:rsidRPr="00BE00C7">
              <w:rPr>
                <w:rFonts w:cs="Arial"/>
                <w:b w:val="0"/>
                <w:lang w:eastAsia="en-NZ"/>
              </w:rPr>
              <w:t>Blockhouse Bay has an Age Related Residential Care Contract (ARCC) with Auckland DHB for hospital medical and geriatric services, and rest home services including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60 of the 64 beds were occupied with 59 residents on site, as one rest home resident was in public hospital.</w:t>
            </w:r>
          </w:p>
          <w:p w:rsidR="00EB7645" w:rsidRPr="00BE00C7" w:rsidP="00BE00C7">
            <w:pPr>
              <w:pStyle w:val="OutcomeDescription"/>
              <w:spacing w:before="120" w:after="120"/>
              <w:rPr>
                <w:rFonts w:cs="Arial"/>
                <w:b w:val="0"/>
                <w:lang w:eastAsia="en-NZ"/>
              </w:rPr>
            </w:pPr>
            <w:r w:rsidRPr="00BE00C7">
              <w:rPr>
                <w:rFonts w:cs="Arial"/>
                <w:b w:val="0"/>
                <w:lang w:eastAsia="en-NZ"/>
              </w:rPr>
              <w:t>There were 31 rest home residents, one of whom was under the age of 65 and funded under the Long Term Support-Chronic Health Care contract. One rest home resident was short stay/respite. There were 28 hospital level care residents. One was under 65 years of age and funded by Taikura Trust under a young person with disabilities contract (YPD).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has not had any planned or unexpected absences since taking up the role seven months ago. There is an arrangement that the FM role will be covered by the nurse manager from the other aged care home owned by the same company. This facility is within 20 minutes’ drive from Blockhouse Bay. For unexpected short term absences (due to illness) the most senior registered nurse is appointed to carry out the managers required duties under delegated authority and the owner is also available to be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planned quality and risk system that reflects the principles of continuous quality improvement. This includes management of incidents and complaints, audit activities, regular resident, relative and staff satisfaction surveys, monitoring of outcomes, and clinical incidents including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This information is reported and discussed at the management team meeting/quality and risk team meetings and staff meetings. Staff reported their involvement in quality and risk management activities through audit activities. The FM writes a detailed corrective action plan each month which identifies all shortfalls and the actions required or those carried out to address these.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showed that the residents/families and staff were satisfied with no concerns.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the processes for the identification, monitoring, review and reporting of risks and development of mitigation strategies. The manager is familiar with the Health and Safety at Work Act (2015) and has implemented requirements. There have been no staff injuries reported to Worksafe in this certification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and actions carried out to prevent recurrence were implemented in a timely manner. All adverse event data is collated, analysed and reported to the management team and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Three notifications of significant events have been made to the Ministry of Health and the DHB since the previous September 2020 audit. These include a change of facility manager in October 2020, a stage 3 Pressure Injury (resident admitted with this) and a missing resident in February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Of the 26 health care assistants (HCAs) six have completed level four, three have completed level three and six have completed level two. Two more HCAs are progressing their bachelor of nursing degrees. All newly employed HCAs are enrolled and supported to progress education by the activities coordinator who is an approved assessor for Careerforce, the education institute. </w:t>
            </w:r>
          </w:p>
          <w:p w:rsidR="00EB7645" w:rsidRPr="00BE00C7" w:rsidP="00BE00C7">
            <w:pPr>
              <w:pStyle w:val="OutcomeDescription"/>
              <w:spacing w:before="120" w:after="120"/>
              <w:rPr>
                <w:rFonts w:cs="Arial"/>
                <w:b w:val="0"/>
                <w:lang w:eastAsia="en-NZ"/>
              </w:rPr>
            </w:pPr>
            <w:r w:rsidRPr="00BE00C7">
              <w:rPr>
                <w:rFonts w:cs="Arial"/>
                <w:b w:val="0"/>
                <w:lang w:eastAsia="en-NZ"/>
              </w:rPr>
              <w:t>Both cleaning staff have completed the Level two national certificate in cleaning.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demonstrated that there were sufficient trained and competent registered nurses supporting the FM. Of the six registered nurse employed (including the nurse manager) four are interRAI trained and maintaining their competencies. Another RN is due to completing the training and one more is enrolled to begin.  </w:t>
            </w:r>
          </w:p>
          <w:p w:rsidR="00EB7645" w:rsidRPr="00BE00C7" w:rsidP="00BE00C7">
            <w:pPr>
              <w:pStyle w:val="OutcomeDescription"/>
              <w:spacing w:before="120" w:after="120"/>
              <w:rPr>
                <w:rFonts w:cs="Arial"/>
                <w:b w:val="0"/>
                <w:lang w:eastAsia="en-NZ"/>
              </w:rPr>
            </w:pPr>
            <w:r w:rsidRPr="00BE00C7">
              <w:rPr>
                <w:rFonts w:cs="Arial"/>
                <w:b w:val="0"/>
                <w:lang w:eastAsia="en-NZ"/>
              </w:rPr>
              <w:t>All staff engage in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care and clinical staff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One RN and eight HCAs are rostered on for morning and afternoon shifts (three in the upstairs wing, three downstairs and two in the rest home). There are three HCAs and one RN on site at night. The FM nurse works Monday to Friday and is available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Additional staff need to be employed for activities and cleaning services.</w:t>
            </w:r>
          </w:p>
          <w:p w:rsidR="00EB7645" w:rsidRPr="00BE00C7" w:rsidP="00BE00C7">
            <w:pPr>
              <w:pStyle w:val="OutcomeDescription"/>
              <w:spacing w:before="120" w:after="120"/>
              <w:rPr>
                <w:rFonts w:cs="Arial"/>
                <w:b w:val="0"/>
                <w:lang w:eastAsia="en-NZ"/>
              </w:rPr>
            </w:pPr>
            <w:r w:rsidRPr="00BE00C7">
              <w:rPr>
                <w:rFonts w:cs="Arial"/>
                <w:b w:val="0"/>
                <w:lang w:eastAsia="en-NZ"/>
              </w:rPr>
              <w:t>All the RNs are maintaining first aid certification so there is at least one staff member on duty with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GP etc.)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Family members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when necessary. There was evidence of pharmacy involvement.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The corrective action from previous audit was followed up and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 monthly GP review is consistently recorded on the medicine chart.  Standing orders are used, are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 There is an implemented process for comprehensive analysis of any medication errors. No vaccines were stored onsite.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team of two cooks and two kitchen assistants and is in line with recognised nutritional guidelines for older people. Blockhouse Bay Home has two menus in place and they follow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Auckland Council effective from 25/05/2019. Food temperatures, including for high risk items, are monitored appropriately and recorded as part of the plan. The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are assessed to develop an initial care plan. Within three weeks of admission, a comprehensive assessment is completed using nursing assessment tools, such as a pain scale, falls risk, skin integrity, nutritional screening, depression scale and interRAI, as a means to identify any deficits and to inform long term care planning. The sample of care plans reviewed had an integrated range of resident-related information. All residents, except for residents who are needing care under respite care, long term support - chronic health condition have current interRAI assessments completed by trained interRAI assessor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therapists holding the national Certificate in Diversional Therapy. Interview with diversional therapist (DT) revealed concerns about finding time for one to one session for resident who are not able to attend group activities. Also, the facility has multiple small lounges for activities and lack an area which accommodates bigger number of residents.The DT is not able to oversee activities in all those areas at the same time. The number of activities hours are not sustainable with the increase in number of acuity residents, refer criterion 1.2.8.1.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monthly activities planner sighted matched the skills, likes, dislikes and interests identified in the assessments. Individual, group activities and regular events are offered. Residents and families/whānau are involved in evaluating and improving the programme through residents’ meetings and satisfaction surveys. Residents interviewed confirmed they are satisfied with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and increased falls risk. When necessary, and for unresolved problems, long term care plans are updated to reflect the needs of residents.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contracted GP service, residents may choose to use another medical practitioner. If the need for other non-urgent services are indicated or requested, the GP or RN sends a referral to seek specialist input.  Copies of referrals were sighted in residents’ files, including to the eye clinic, mental health for older people and orthopaedic clinic.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The cleaner has completed safe chemical handling education. Material safety data sheets were made available where chemicals are stored at the time of audit.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stores of aprons, masks, gloves and gowns (PPE) readily availability in various locations. Staff were observed using these and interviews confirmed they understood donning and doffing of aprons, and appropriate use and disposal of PPE. .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24 June 2021) is publicly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current residents’ physical environment and facilities are fit for their purpose and maintained. Residents confirmed they are happy with the environment. The testing and tagging of electrical equipment occurred on 23 April 2021 and calibration of bio medical equipment and electric beds occurred on 01 February 2021. </w:t>
            </w:r>
          </w:p>
          <w:p w:rsidR="00EB7645" w:rsidRPr="00BE00C7" w:rsidP="00BE00C7">
            <w:pPr>
              <w:pStyle w:val="OutcomeDescription"/>
              <w:spacing w:before="120" w:after="120"/>
              <w:rPr>
                <w:rFonts w:cs="Arial"/>
                <w:b w:val="0"/>
                <w:lang w:eastAsia="en-NZ"/>
              </w:rPr>
            </w:pPr>
            <w:r w:rsidRPr="00BE00C7">
              <w:rPr>
                <w:rFonts w:cs="Arial"/>
                <w:b w:val="0"/>
                <w:lang w:eastAsia="en-NZ"/>
              </w:rPr>
              <w:t>Visual inspection of the internal and external environment, documentation reviewed and interview with the maintenance person revealed that monthly hot water and weekly environmental temperature (medicines rooms) recordings were occurring. External suppliers visit monthly to test emergency and cleaning equipment and products.</w:t>
            </w:r>
          </w:p>
          <w:p w:rsidR="00EB7645" w:rsidRPr="00BE00C7" w:rsidP="00BE00C7">
            <w:pPr>
              <w:pStyle w:val="OutcomeDescription"/>
              <w:spacing w:before="120" w:after="120"/>
              <w:rPr>
                <w:rFonts w:cs="Arial"/>
                <w:b w:val="0"/>
                <w:lang w:eastAsia="en-NZ"/>
              </w:rPr>
            </w:pPr>
            <w:r w:rsidRPr="00BE00C7">
              <w:rPr>
                <w:rFonts w:cs="Arial"/>
                <w:b w:val="0"/>
                <w:lang w:eastAsia="en-NZ"/>
              </w:rPr>
              <w:t>Efforts are made to ensure the environment is hazard free, safe for residents and supports their independence. Grounds contractors visit fortnightly but overlooked one side of the rest home building where garden debris was building up. This was being rectified by staff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sanitiser has now been installed in one of the sluice rooms and is in use for hygienic cleaning of bedpans and urinals as required at the surveillance audit in August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Each bedroom has a hand basin and the majority have their own toilets. Two rest home rooms share a shower and a toilet. Five hospital rooms have a toilet and no shower, and one hospital room has no shower or toilet. All other hospital rooms have a shower and toilet. There are sufficient showers and toilets in each common area for shared use, for example, three in the older rest home wing which has 20 rooms and two on each floor in the newer building, for approximately 20 rooms upstairs and 20 downstairs.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are single occupancy except for one room which is shared by a husband and wife as they requested.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inside and around the facility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but currently the downstairs ‘rest home’ dining area is the main area that residents assemble for morning exercises, newspaper reading and crafts. An upstairs lounge and two other dining areas could be utilised for group and individual activities if there were more activities staff to facilitate this. Refer to 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are two shared dining and lounge areas downstairs and one upstairs which enables easy access for residents and staff. A number of residents prefer tray service for meals in their rooms. Residents can access their bedrooms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by the care staff designated to work in the rest home, although other care staff assist with this where needed. Two care staff interviewed demonstrated a sound knowledge of the laundry processes, dirty/clean flow and handling of soiled linen. They had no concerns about being able to complete laundry tasks during their shifts, except on some days when attendance at meetings and training shortened their available time. No laundry services occur at night but the afternoon shift assist with folding and delivery of clean laundry.  Residents interviewed reported the laundry is managed well and their clothes are returned in a timely manner. A commercial washing machine and dryer have been installed as required at the partial provisional audit in 2019 </w:t>
            </w:r>
          </w:p>
          <w:p w:rsidR="00EB7645" w:rsidRPr="00BE00C7" w:rsidP="00BE00C7">
            <w:pPr>
              <w:pStyle w:val="OutcomeDescription"/>
              <w:spacing w:before="120" w:after="120"/>
              <w:rPr>
                <w:rFonts w:cs="Arial"/>
                <w:b w:val="0"/>
                <w:lang w:eastAsia="en-NZ"/>
              </w:rPr>
            </w:pPr>
            <w:r w:rsidRPr="00BE00C7">
              <w:rPr>
                <w:rFonts w:cs="Arial"/>
                <w:b w:val="0"/>
                <w:lang w:eastAsia="en-NZ"/>
              </w:rPr>
              <w:t>The two designated cleaners have completed the New Zealand Qualifications Authority Certificate in Cleaning (Level 2), confirmed in interviews and training records. Chemicals were stored in a lockable cupboard and were in appropriately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cleaning and laundry processes are monitored through the internal audit programme and the visiting chemical supply company also checks the effectiveness of chemicals and provides support to staff about the safe use of these. Visual inspection of all areas in the home and negative feedback from some family members interviewed revealed a need for more in depth cleaning in some areas. For example, the high areas in the rest home corridors where cobwebs and dirt on light fittings were visible and not all bedrooms in the new building were being fully cleaned each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requirement to review the cleaner’s workload now that resident numbers have increased and the additional 40 bedrooms are occupied–refer criterion 1.2.8.1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previous audit identified an area for improvement to ensure that an approved fire service evacuation plan is in place covering the new building and that staff have undertaken a fire drill in the new building. The corrective action is now addressed, and records were available to demonstrate this.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31 July 2019. A trial evacuation takes place six-monthly with a copy sent to Fire and Emergency Services New Zealand (FENZ), the most recent being on 24 February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National Emergency Management Agency recommendations for the region.</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There are closed circuit cameras located in common areas of the hospital the exit doors and in the car park. These are monitored from the nurses’ station and the owner/directors cell phone. Notices informing about the cameras are on display and information about the cameras is included in the written information provided to new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All resident bedrooms and common areas have natural light and opening external windows. Heating is provided by underfloor heating in the older rest home building, including in residents’ rooms and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new building has heat pumps in all residents’ bedrooms and in the common areas. The upstairs windows have security stays on them to prevent them from opening too wide.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coordinator/registered nurse is the designated IPC coordinator, whose role and responsibilities are defined in a job description. Infection control matters, including surveillance results, are reported monthly to the FM and tabled at the staff meeting. The IPC committee includes the facility manager, IPC coordinator, Registered Nurses, health care assistants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the Covid-19 pandemic all visitors are requested to log their visit by entering their details on a paper log or by scanning a Ministry of Health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who is supported by the current Facility Manager, has appropriate skills, knowledge and qualifications for the role, and has been in this role for two months. She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were no infections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reviewed and include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is evidence that additional staff education has been provided in response. Hand washing and donning doffing of personal protective equipment trainings have been completed as a part of recent pandemic preparedness </w:t>
            </w:r>
          </w:p>
          <w:p w:rsidR="00EB7645" w:rsidRPr="00BE00C7" w:rsidP="00BE00C7">
            <w:pPr>
              <w:pStyle w:val="OutcomeDescription"/>
              <w:spacing w:before="120" w:after="120"/>
              <w:rPr>
                <w:rFonts w:cs="Arial"/>
                <w:b w:val="0"/>
                <w:lang w:eastAsia="en-NZ"/>
              </w:rPr>
            </w:pPr>
            <w:r w:rsidRPr="00BE00C7">
              <w:rPr>
                <w:rFonts w:cs="Arial"/>
                <w:b w:val="0"/>
                <w:lang w:eastAsia="en-NZ"/>
              </w:rPr>
              <w:t>Health education with residents is generally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others.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Manager. Data is benchmarked internally and compared against previous year’s data. This comparison has provided assurance that infection rates are lower than last years.</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 is sighted, and staff interviewed were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RN restraint coordinator provides support and oversight for enabler and restraint management in the facility and demonstrated a sound understanding of the organisation’s policies, procedures and practice and her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six residents were using bedrails as restraints. One of these residents also required a lap belt when sitting. There were no residents using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FM, the GP and the RN restraint coordinator are responsible for assessment and approval and review of the use of restraints and all other care staff for safe implementation and monitoring of restraints when they are in place. The job description for the restraint coordinator has clear lines of accountability.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and interviews with the coordinator showed that each restraints had been approved by the GP and consented to by the residents enduring power of attorney or nominated family member following their involvement in the decision making process. Use of a restraint was clearly identified in each resident’s plan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restraint coordinator undertakes the initial assessment with input from other RNs and the resident’s family/whānau/EPOA. The /restraint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(hourly)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regularly. The sighted register contained sufficient information to provide an auditable record including an accurate and current list of the residents using a restraint.</w:t>
            </w:r>
          </w:p>
          <w:p w:rsidR="00EB7645" w:rsidRPr="00BE00C7" w:rsidP="00BE00C7">
            <w:pPr>
              <w:pStyle w:val="OutcomeDescription"/>
              <w:spacing w:before="120" w:after="120"/>
              <w:rPr>
                <w:rFonts w:cs="Arial"/>
                <w:b w:val="0"/>
                <w:lang w:eastAsia="en-NZ"/>
              </w:rPr>
            </w:pPr>
            <w:r w:rsidRPr="00BE00C7">
              <w:rPr>
                <w:rFonts w:cs="Arial"/>
                <w:b w:val="0"/>
                <w:lang w:eastAsia="en-NZ"/>
              </w:rPr>
              <w:t>Staff attended training in the organisation’s restraint policy and procedures and related topics, such as positively supporting people with challenging behaviours the week before this audit. Staff spoken to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three of the six residents’ files who were using restraint showed that the individual use of restraints is reviewed and evaluated during care plan and interRAI reviews, and at two monthly restraint evaluations.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and FM have conducted an annual review of all restraint use in January 2021 which included information to meet all the requirements of this Standard. The report contained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GP,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Data reviewed, minutes and interviews with the FM and restraint coordinator confirmed that the use of restraint has reduced from 13 to 6 over the past four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provides monthly reports on restraint activities to the owners, RNs and staff at their meetings. Six-monthly internal audits are also carried out which informs these meetings. Any changes to policies, guidelines, education and processes are implemented if indicated.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2"/>
        <w:gridCol w:w="1280"/>
        <w:gridCol w:w="7586"/>
        <w:gridCol w:w="1877"/>
        <w:gridCol w:w="14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only one diversional therapist employed 40 hours per week to provide activities for up to 64 residents. This person also assesses and moderates the CareerForce training programme for HCAs which takes up to two hours per week. The 2019 staffing plan for the addition of 40 hospital beds indicated there would be additional activities staff hours but this has not been implemented. One activities staff member cannot realistically meet the individual and group social and recreational needs of 60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cleaners are now employed who share the 56 hours of cleaning time allocated each week. One cleaner is rostered to be on site seven days a week for eight hours a day. Taking into account the size of the facility, the number of bathrooms, toilets and resident bedrooms (now close to full occupancy) and other evidence, indicate that one person per day is insufficient   . Although the common areas are cleaned daily, some bedrooms are only ‘spot cleaned’ each day, and given a full clean when needed. Staff interviews, visual inspections and feedback from families identified the need for an additional person to be allocated to cleaning and activities for sufficient hours to complete the work required. Refer to further evidence in 1.4.6 and 1.3.7.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activities hours to cater to the needs of residents for the variety of group work and for individual time for those with high needs who cannot participate in group work</w:t>
            </w:r>
          </w:p>
          <w:p w:rsidR="00EB7645" w:rsidRPr="00BE00C7" w:rsidP="00BE00C7">
            <w:pPr>
              <w:pStyle w:val="OutcomeDescription"/>
              <w:spacing w:before="120" w:after="120"/>
              <w:rPr>
                <w:rFonts w:cs="Arial"/>
                <w:b w:val="0"/>
                <w:lang w:eastAsia="en-NZ"/>
              </w:rPr>
            </w:pPr>
            <w:r w:rsidRPr="00BE00C7">
              <w:rPr>
                <w:rFonts w:cs="Arial"/>
                <w:b w:val="0"/>
                <w:lang w:eastAsia="en-NZ"/>
              </w:rPr>
              <w:t>Feedback from residents, their families and visual observation confirms that cleaning is not being completed as required in all areas to meet standards of cleanliness.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are sufficient numbers of staff allocated for cleaning and activities to effectively complete tasks and meet the needs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Blockhouse Bay Healthcare Limited - Blockhouse Bay Home</w:t>
    </w:r>
    <w:bookmarkEnd w:id="58"/>
    <w:r>
      <w:rPr>
        <w:rFonts w:cs="Arial"/>
        <w:sz w:val="16"/>
        <w:szCs w:val="20"/>
      </w:rPr>
      <w:tab/>
      <w:t xml:space="preserve">Date of Audit: </w:t>
    </w:r>
    <w:bookmarkStart w:id="59" w:name="AuditStartDate1"/>
    <w:r>
      <w:rPr>
        <w:rFonts w:cs="Arial"/>
        <w:sz w:val="16"/>
        <w:szCs w:val="20"/>
      </w:rPr>
      <w:t>25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