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Green Gables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Green Gables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June 2021</w:t>
      </w:r>
      <w:bookmarkEnd w:id="7"/>
      <w:r w:rsidRPr="009418D4">
        <w:rPr>
          <w:rFonts w:cs="Arial"/>
        </w:rPr>
        <w:tab/>
        <w:t xml:space="preserve">End date: </w:t>
      </w:r>
      <w:bookmarkStart w:id="8" w:name="AuditEndDate"/>
      <w:r w:rsidR="00A4268A">
        <w:rPr>
          <w:rFonts w:cs="Arial"/>
        </w:rPr>
        <w:t>16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Green Gables provides rest home and hospital level care in a two storey building of care suites for up to sixty-one residents. The service, which opened in August 2020, is operated by Oceania Healthcare Limited and is managed by a business and care manager and a clinical manager. Residents and families spoke positively about Green Gables and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allied health providers and a general practitioner. </w:t>
      </w:r>
    </w:p>
    <w:p w:rsidRPr="00A4268A">
      <w:pPr>
        <w:spacing w:before="240" w:line="276" w:lineRule="auto"/>
        <w:rPr>
          <w:rFonts w:eastAsia="Calibri"/>
        </w:rPr>
      </w:pPr>
      <w:r w:rsidRPr="00A4268A">
        <w:rPr>
          <w:rFonts w:eastAsia="Calibri"/>
        </w:rPr>
        <w:t xml:space="preserve">This audit has resulted in one standard requiring improvement in relation to the civil defence kit and security cameras.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Green Gables.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at Green Gables are provided in a manner that respects the choices, personal privacy, independence, individual needs, and dignity of the residents.  Staff were observed and reported to interact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Green Gables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Information about the complaints process is provided to residents and family members on entrance to the service and at the front entrance. There is a complaint register that records a summary of concerns and complaints raised.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strategic plan for the organisation outlines a purpose, four driver, four value outcomes and three key goals with measures. Other business and strategic documents are available and include a clinical excellence strategy. Monitoring of the services involves liaison between the facility and regional operations and clinical managers who link back to the support office. An experienced manager, who is supported by a competent clinical manager, manages the facility. </w:t>
      </w:r>
    </w:p>
    <w:p w:rsidRPr="00A4268A">
      <w:pPr>
        <w:spacing w:before="240" w:line="276" w:lineRule="auto"/>
        <w:rPr>
          <w:rFonts w:eastAsia="Calibri"/>
        </w:rPr>
      </w:pPr>
      <w:r w:rsidRPr="00A4268A">
        <w:rPr>
          <w:rFonts w:eastAsia="Calibri"/>
        </w:rPr>
        <w:t xml:space="preserve">Quality and risk are managed according to a documented quality management system. This includes collection and analysis of quality improvement data, identifies trends and leads to improvements. Staff are involved, feedback is sought from residents and there is ongoing communication with families. Incidents and accidents are documented with corrective actions implemented. Actual and potential risks, including those related to health and safety, are identified and mitigated. Policies and procedures that guide service delivery are current and reviewed regularly. </w:t>
      </w:r>
    </w:p>
    <w:p w:rsidRPr="00A4268A">
      <w:pPr>
        <w:spacing w:before="240" w:line="276" w:lineRule="auto"/>
        <w:rPr>
          <w:rFonts w:eastAsia="Calibri"/>
        </w:rPr>
      </w:pPr>
      <w:r w:rsidRPr="00A4268A">
        <w:rPr>
          <w:rFonts w:eastAsia="Calibri"/>
        </w:rPr>
        <w:t xml:space="preserve">Human resource processes, including the appointment of new staff, staff orientation processes and overall management of staff are based on current good practices. A training schedule has been developed and all staff are encouraged to participate in ongoing training opportunities, which support safe service delivery. Rosters demonstrate staffing levels and skill mix meet the rising occupancy and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Green Gables staff work closely with the local Needs Assessment and Service Co-ordination Service, to ensure access to the facility is efficiently managed. When a resident requests admission to Green Gables and there is a vacancy,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provided by a diversional therapist and an activities co-ordinator. Residents are provided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Green Gables facility is new and has been designed specifically for the purpose. It is light, open plan, warm and clean. A Code of Compliance certificate is on public display as the provider waits for a building warrant of fitness. Electrical equipment is tested as required and hot water temperatures are monitored for safety. External areas are accessible, safe and provide privacy, shade and seating. </w:t>
      </w:r>
    </w:p>
    <w:p w:rsidRPr="00A4268A">
      <w:pPr>
        <w:spacing w:before="240" w:line="276" w:lineRule="auto"/>
        <w:rPr>
          <w:rFonts w:eastAsia="Calibri"/>
        </w:rPr>
      </w:pPr>
      <w:r w:rsidRPr="00A4268A">
        <w:rPr>
          <w:rFonts w:eastAsia="Calibri"/>
        </w:rPr>
        <w:t xml:space="preserve">Waste and hazardous substances are managed according to recommended safe practices. Personal protective equipment and clothing are available for staff use. Chemicals, soiled linen and equipment are stored appropriately. Laundry is undertaken offsite and evaluated via the service provider’s internal audit system. </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Suitable emergency response plans, including supplies and equipment, are in place. Call bell response times are monitored.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Relevant policies and procedures support the minimisation of restraint. One person chooses to use an enabler and there is evidence of a comprehensive assessment, approval and monitoring process having occurred. Staff training on behaviour management and restraint use is provided. Those interviewed demonstrated a sound knowledge and understanding of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organisation’s infection control expert or the infection control nurse at Nelson District Health Board.</w:t>
      </w:r>
    </w:p>
    <w:p w:rsidRPr="00A4268A">
      <w:pPr>
        <w:spacing w:before="240" w:line="276" w:lineRule="auto"/>
        <w:rPr>
          <w:rFonts w:eastAsia="Calibri"/>
        </w:rPr>
      </w:pPr>
      <w:r w:rsidRPr="00A4268A">
        <w:rPr>
          <w:rFonts w:eastAsia="Calibri"/>
        </w:rPr>
        <w:t>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and benchmarked.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49"/>
        <w:gridCol w:w="1280"/>
        <w:gridCol w:w="103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Green Gables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detailed complaint policy meets the requirements of Right 10 of the Code, defines the terms “concern and complaint” and notes all are taken seriously. On admission, residents and family members are informed about their right to make a complaint and how to do this. Residents and family members were aware of how to make a complaint. All complaints are recorded on an electronic recording platform. A complaint reporting severity matrix is used to assess the risk level of each complaint. Complaints are reviewed both individually and collectively with monitoring occurring through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on complaints is scheduled to attend at least every two years and staff interviewed were aware of what to do in the event of a person expressing dissatisfaction.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is currently blank with none having been received since the facility opened. One concern raised by a family member during discussion with the business and care manager several days earlier has been logged as a concern, albeit the issue has already been resolved. At present the business and care manager is responsible for complaints management and follow 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when interviewed report being made aware of the Code and the Nationwide Health and Disability Advocacy Service (Advocacy Service) as part of the admission information provided and discussion with staff. The Code is displayed in common areas around the facility,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confirmed that services at Green Gables are provided in a manner that has regard for resident’s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resident’s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in Green Gables at the time of audit who identified as Māori. Interviews verify staff can support any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 In the event additional advice is required this can be accessed from the local Māori Health organisation that represents five of the local Iwi.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members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those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pharmacist, physiotherapist, district nurses, wound care specialist,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attend external education opportunities for example, the fundamentals of palliative care, Nelson District Health Board (NDHB) training sessions, in-service training days, access to online learning hubs to support good practice, and Oceania Healthcare’s commitment to support any RN willing to study and become a nurse practitioner.</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attention to wound care management enabling residents’ pressure injuries to be healed, the commitment to enabling mealtimes to be a pleasurable experience that is not disrupted by medication rounds. This includes enabling flexibility to residents around mealtimes.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family members and several allied service providers described the care provided by Green Gables staff as “magnificent”, “outstanding”, and “excellent”.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NDHB. Staff will read articles to residents if the print is too small, and magnifying glasses are available to assist residents to read articles independently. The menu is written in large print, and large print books are available in the library. An interview with a resident who was hard of hearing was enabled to communicate using earphones and a microphone.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rebranding of Oceania Healthcare has seen a new motto developed, ‘Believe in Better’ or ‘The pursuit of better.’ The overall strategic direction is described in a simplified organisational plan that covers four value outcomes, includes key strategic direction statements, a purpose, and goals and measures related to ‘People, Planet and Prosperity.’ </w:t>
            </w:r>
          </w:p>
          <w:p w:rsidR="00EB7645" w:rsidRPr="00BE00C7" w:rsidP="00BE00C7">
            <w:pPr>
              <w:pStyle w:val="OutcomeDescription"/>
              <w:spacing w:before="120" w:after="120"/>
              <w:rPr>
                <w:rFonts w:cs="Arial"/>
                <w:b w:val="0"/>
                <w:lang w:eastAsia="en-NZ"/>
              </w:rPr>
            </w:pPr>
            <w:r w:rsidRPr="00BE00C7">
              <w:rPr>
                <w:rFonts w:cs="Arial"/>
                <w:b w:val="0"/>
                <w:lang w:eastAsia="en-NZ"/>
              </w:rPr>
              <w:t>There are close links between the management of the facility and support office with the business and care manager having a one on one meeting with the regional operations manager at least monthly to discuss the monthly report and any emergent issues and risk. Similarly, the clinical manager meets with the regional clinical manager every four to six weeks to discuss a monthly report that has a clinical focus and includes updates on the pre-determined clinical indicators and emerging clinical risks. These meetings are supplemented by regular zoom meetings and regular contact by telephone or additional visits as required. This was especially evident as Green Gables was becoming established in the latter part of 2020. Meetings minutes and reports from the clinical governance committee confirmed that ongoing monitoring of clinical indicators is occurring and relevant corrective actions and quality improvement opportunities are being identified at the organisational level and relayed to the facility. A review of clinical governance was undertaken February 2020 and a clinical excellence strategy has since been developed.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business and care manager who also operates as the village manager. This person is suitably qualified and experienced with previous experience as manager of other aged care facilities and as an operations manager for another corporate aged care organisation. Ongoing attendance at training opportunities is maintained and mentoring processes are in place. Responsibilities and accountabilities are defined in a job description and there is a signed individual employment agreement. The business and care manager demonstrated knowledge of the sector and regulatory and reporting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all sixty-one units are care suites occupied under occupation right agreements, the service holds age related residential care agreement (ARRC) contracts with the local Nelson Marlborough District Health Board for the provision of rest home and hospital services, including respite care. On the day of audit, there were four people receiving hospital level care and eight people were receiving rest home care, of which two were receiving short term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are in place for the clinical manager to fulfil the management role according to guidelines as described in an organisational policy document on delegated authority. The clinical manager is second in charge to the business and care manager, was chosen as Oceania’s International Nurse of the Year 2021 and has personal goals toward management. When the clinical manager is absent, or is relieving for the business care manager, then another registered nurse is delegated to step in as relieving clinical manager and to take responsibility for any clinical issues that may arise.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organisational quality improvement policy defines quality, quality assurance and quality improvement and is supported by a quality plan, document controlled Oceania Healthcare policies and procedures, site-specific processes and Oceania Healthcare’s model of care and a quality framework. There is a strong focus on residents’ needs in quality policy statements. The business and care manager, along with the clinical manager is accountable for the quality of care provided at each facility and implementation of the organisation’s quality and risk system. 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sets of meeting minutes were reviewed and confirmed quality improvement meetings are being held every month with representatives from each area including clinical, kitchen and housekeeping for example. Key objectives of the quality improvement system cover the management and control of accidents/incidents and of complaints, corrective and preventative actions, internal quality audits, regular resident satisfaction surveys, monitoring of clinical indicators including infections and restraints, the analysis of quality related data and education. Systems and processes being reviewed as part of the monthly registered nurse meetings and staff meetings supplement implementation of the quality improvement system. Ideas for quality improvement projects have been proposed; however, there are not currently any such projects underway.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reporting incidents, attending education, reading and following policy documents and responding to corrective actions as requested. There were numerous examples of the documentation and implementation of corrective actions in response to identified shortfalls in activities such as incident reports, internal audits and outcomes of the monitoring of key performance indicators. An Oceania resident satisfaction survey distributed in April of 2021 at Green Gables had four responses. Despite the few responses, corrective actions relating to lost laundry items and the provision of information were developed. A staff survey has not yet been distributed.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meetings are occurring every two months with outcomes from these presented at the following quality improvement meeting. The business and care manager informed that although familiar with the Health and Safety at Work Act (2015) and requirements have been implemented, a new representative is to share this role and their training is scheduled for the beginning of August 2021. Risks are discussed at meetings at all levels and this was evident in meeting minutes. In addition to the hazard register, risks identified in a comprehensive risk register that has a strong health and safety focus are being reviewed at relevant meetings. The regional operations manager described the risk review system at the support office level and provided related documentation.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into an electronic accident/incident reporting system. A sample of incidents were reviewed and records sighted showed all relevant details had been entered, incidents were all investigated, action plans developed and corrective actions followed-up in a timely manner. Adverse event data is collated, analysed and reported to the support office where further analysis occurs at regional and national levels. Examples of patterns emerging and of outcomes of investigations being used for quality improvement purposes were viewed. Subsequent follow-up was evident in both the incident register and quality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described essential notification reporting requirements, which includes reporting any such event to the regional clinical manager at the Oceania support office. Significant events, including for a medication error and for two pressure injuries had been reported to the Ministry of Health since the last audit, as had changes of the facility manager and the clinical manager. Related documentation and responses were viewed. An employment issue has been responded to with responses to requests for information being completed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describe accepted employment practices and relevant legislation. A sample of staff records reviewed confirmed the organisation’s policies are being consistently implemented and records are maintained. Formal applications were in staff files, including for staff who have transferred from other facilities. Interview records were sighted in staff files, as was evidence of referee checks, police vetting and validation of qualifications and practising certificates, where required. Copies of current practising certificates and registrations for all health practitioners who support residents in this facility are on file and were 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reviewed its orientation processes for new staff. New employees are now required to complete a workbook, rather than a signed checklist, and to demonstrate specified competencies that are relevant to their role. Staff informed they are comfortable about the orientation process and expressed appreciation that they can have additional buddied shifts over and above the minimum two required if they need it, or if the person orientating them thinks it would be advantageous. Staff records reviewed show documentation of completed orientation for all except one staff who has just returned their workbook and is about to have their three-month interview with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records were viewed and the business and care manager and the clinical manager explained the staff training processes. Monthly special interest training topics are provided alongside the staff meetings and toolbox talks are provided at handovers when issues arise or reminders are required. Continuing education is comprised of a study day that all staff are required to attend at least once a year. This is known as the Growth, Educate and Motivate (GEM) study day and covers the philosophy of Oceania facilities and services, plus key mandatory training expectations as required by the service provider’s contract with the District Health Board. An Oceania registered nurse study day is planned once a year and they are provided with access to on-line trainings through the District Health Board. Healthcare assistants are supported to undertake the Certificate in Health and Wellbeing, a New Zealand Qualification Authority education programme. There are sufficient trained and competent registered nurses who are maintaining their annual competency requirements to undertake interRAI assessments and all registered nurses are required to have a current first aid certificate. As Oceania Green Gables is still very new, many staff members are new to their roles and have either just completed their orientation or are just completing initial training requirements. Only staff who were previously employed at other Oceania facilities have a current performance appraisal, although there were records in the training files that the clinical manager does speak to new staff after eight to twelve weeks.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documentation noted that staffing levels to cover 24 hours a day; seven days a week (24/7) are variance managed according to occupancy numbers, resident dependency and resident acuity. This was confirmed during conversations with the business and care manager, the clinical manager and the regional operations manager who informed an occupancy mix matrix is used to assist with ascertaining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four weeks of roster evidenced at least one registered nurse had been rostered on duty at all times. The rosters showed sufficient staff have been allocated to meet the needs of the lower number of residents as if all were hospital level care, with additional staff having been rostered on duty when numbers had temporarily increased to eighteen. Registered nurses may consult with the clinical and/or business and care manager when workloads increase with the regional operations manager responsible for agreeing to the employment of additional staff. An Oceania staffing framework for the “ramp-up of staff numbers in new facilities” currently guides this process at Green Gables.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is on call 24/7 to respond to business matters and the clinical manager for clinical issues. If one of these managers is unavailable, then the regional operations manager is next in-line. Another senior registered nurse is rostered on call should the clinical manager be unavailable. Healthcare assistants informed there were adequate numbers of staff available to complete the work allocated to them while resident numbers remain low. Any unplanned staff absence is managed by the person being replaced with another staff person, a casual or by staff extending shift timeframes. Residents and family interviewed were satisfied with staffing levels. With all registered nurses having a current first aid certificate, there is always at least one staff member on duty who has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Hard copy staff records are held securely on site, whilst the staff member remains employed. When the staff members resign, records are archived offsite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resident and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Green Gables when their required level of care has been assessed and confirmed by the local Needs Assessment and Service Coordination (NASC) Service. Prospective residents and/or their families are encouraged to visit the facility prior to admission and meet with the business and care manager (BCM) and the clinical manager (CM). They are also provided with written information about Green Gables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NDHB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at Green Gables are not administered in the dining room at mealtimes unless they are required to be taken with food. Medications are generally administered to residents in their rooms, prior to or following meals, prescribing times accommodate this regime.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a medication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Green Gables.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is in line with recognised nutritional guidelines for older people. The menu follows summer and winter patterns and has been reviewed by a qualified dietitian in March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registered with the Ministry of Primary industries is in place at Green Gables. Registration of this plan is due to expire 28 March 2022. A verification audit of the food control plan was undertaken 10 November 2020. No areas requiring actions were identified at that audit. A re-audit of the plan is due 10 November 2021.</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chef is qualified and has undertaken a safe food handling qualification, with kitchen assistants completing relevant food control plan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committed to ensuring the food service at Green Gables is a pleasurable experience. Breakfasts run from 0730 to 0930 and residents can have breakfasts in bed or the dining room. A daily cooked breakfast is available and prepared by the chef as requested. A light meal in addition to a soup is served at lunchtime. The main meal plus a desert is served in the evening. If residents prefer the light meal at teatime this can be accommodated, as can a meal service if residents are out when the meal is served. Medications are not dispensed in the dining room unless there is a specific request for a medication to be given with food. Mealtimes focus on making dining a pleasurable experience for the resident where they are not disturbed by nurses dispensing medications. </w:t>
            </w:r>
          </w:p>
          <w:p w:rsidR="00EB7645" w:rsidRPr="00BE00C7" w:rsidP="00BE00C7">
            <w:pPr>
              <w:pStyle w:val="OutcomeDescription"/>
              <w:spacing w:before="120" w:after="120"/>
              <w:rPr>
                <w:rFonts w:cs="Arial"/>
                <w:b w:val="0"/>
                <w:lang w:eastAsia="en-NZ"/>
              </w:rPr>
            </w:pPr>
            <w:r w:rsidRPr="00BE00C7">
              <w:rPr>
                <w:rFonts w:cs="Arial"/>
                <w:b w:val="0"/>
                <w:lang w:eastAsia="en-NZ"/>
              </w:rPr>
              <w:t>Evidence of a high degree of resident satisfaction with meals is verified by resident and family interviews, satisfaction surveys and resident meeting minutes.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Green Gables are initially assessed using a range nursing assessment tools such as pain scale, falls risk, skin integrity, nutritional screening, and depression scale to identify any deficits and to inform initial care planning. Within three weeks of admission residents (other than respite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verifies the RNs are familiar with requirement for reassessment of a resident using the interRAI assessment tool when a resident has increasing or changing need levels. </w:t>
              <w:br/>
              <w:br/>
              <w:t>Except for the residents receiving respite care, resident’s files reviewed have current interRAI assessments completed by four trained interRAI assessors (includes the CM)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at Green Gables was consistent with their needs, goals, and the plan of care. The attention to meeting a diverse range of resident’s individualised needs was particularly evident in all areas of service provision. A review of the management of an acute event verifies the event was managed appropriately in a timely manner.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 Ceiling hoists are discreetly located in each care suite, as is any other additional equipment required by that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and an activities co-ordinator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The activities care plan is created that identifies the residents’ goals, desires, and ongoing needs. The activities programme that is meaningful to the resident is formulated based on the assessment findings.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 Tai Chi, move and groove, this day in history (discussion), walking groups, crosswords, travel club, weekly van trips, visiting entertainers, quiz sessions and daily news updates. An ‘I love music’ initiative implemented by Oceania Healthcare operates at its Green Gables site. Residents who love music are enabled to have an MP3 player loaded with music of their choice to listen to using earphones. Community groups (church, kindergarten, and school groups) visit Green Gables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monthly residents’ meetings and meeting minutes indicate residents’ input on activities is sought and responded to. Resident and family satisfaction surveys demonstrated satisfaction with the activity programme provided. Residents and family members of residents at interview confirmed they find the activity programme is diverse and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library resource, jigsaws, games, and a media room accessible to residents of Green Gables. Internet access is available to residents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Short-term care plans were consistently reviewed for infections, pain, weight loss and progress evaluated as clinically indicated. Wound management plans were evaluated each time the dressing was changed. Pain medication was monitored for effectiveness and changed when it was not achieving the desired result. Residents and families/whānau when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RN sends a referral to seek specialist input. Copies of referrals were sighted in residents’ files, including to older persons’ mental health services. Referrals are followed up on a regular basis by the CM/RN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 Evidence is sighted that an acute event requiring referral was managed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and procedure on the management of healthcare waste provides staff with direction for management of waste. A contractor regularly removes waste from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including plastic aprons, gloves, face shields and goggles were available for staff use. Staff were observed using some of these items and confirmed they had received training on its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all care suites at Green Gables are on the ground and first floor levels of a three level building and all are for occupation under an Occupation Right Agreement, the facility specifications are consistent with those of all aged care facilities. A Code of Compliance certificate issued by the Nelson City Council on 21 December 2020 is on display as a building warrant of fitness has not yet been issued.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Electrical equipment has been tested and tagged when installed. Bio-medical equipment, including hoists, are all new and within their first year of use. These items are scheduled for checks, including calibration in August 2021. Hot water temperatures are checked for safety and efforts are made to ensure the environment is hazard free, that residents are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system for recording repairs, installation of items such as shelves and general maintenance is in place. Residents confirmed they know the processes they should follow if any repairs or maintenance is required and records sighed confirmed any requests are appropriately actioned.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professionally landscaped, are being safely maintained and are appropriate to the resident groups and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suites have their own ensuite off the bedroom. Three toilets for residents use are available, one of which is upstairs and two downstairs. These have sensor activated lighting systems. All toilets and ensuites are wheelchair accessible and have appropriately secured and approved handrails. Each care suite has its own shower chair.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care suite safely. The care suites provide single accommodation, although one is a purpose built double room should it be needed. Care suites are studio units with a kitchen sink and cupboards or are larger units with a small sitting area and a separate bedroom. There are twenty-six of the smaller suites, with twelve on the ground floor and fourteen on the first floor. Seventeen of thirty-five larger care suites are on the ground floor and eighteen on floor one. All rooms currently occupied are personalised with furnishings, photos and other personal items displayed. Ceiling mounted hoists are installed in all care suites. </w:t>
            </w:r>
          </w:p>
          <w:p w:rsidR="00EB7645" w:rsidRPr="00BE00C7" w:rsidP="00BE00C7">
            <w:pPr>
              <w:pStyle w:val="OutcomeDescription"/>
              <w:spacing w:before="120" w:after="120"/>
              <w:rPr>
                <w:rFonts w:cs="Arial"/>
                <w:b w:val="0"/>
                <w:lang w:eastAsia="en-NZ"/>
              </w:rPr>
            </w:pPr>
            <w:r w:rsidRPr="00BE00C7">
              <w:rPr>
                <w:rFonts w:cs="Arial"/>
                <w:b w:val="0"/>
                <w:lang w:eastAsia="en-NZ"/>
              </w:rPr>
              <w:t>There are storage areas for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relax, watch television or engage in activities. On the ground floor there is a café, dining area, lounge with a partial divider and a television lounge. On level one there is a large lounge, a smaller one off this, a main dining room and a private dining room. </w:t>
            </w:r>
          </w:p>
          <w:p w:rsidR="00EB7645" w:rsidRPr="00BE00C7" w:rsidP="00BE00C7">
            <w:pPr>
              <w:pStyle w:val="OutcomeDescription"/>
              <w:spacing w:before="120" w:after="120"/>
              <w:rPr>
                <w:rFonts w:cs="Arial"/>
                <w:b w:val="0"/>
                <w:lang w:eastAsia="en-NZ"/>
              </w:rPr>
            </w:pPr>
            <w:r w:rsidRPr="00BE00C7">
              <w:rPr>
                <w:rFonts w:cs="Arial"/>
                <w:b w:val="0"/>
                <w:lang w:eastAsia="en-NZ"/>
              </w:rPr>
              <w:t>Dining and lounge areas are spacious and enable easy access for residents and staff, especially with only twelve people in residence. Residents can access areas for privacy, or socialisation as preferred.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off site in the laundry of another nearby Oceania aged care facility. Healthcare assistants demonstrated a sound knowledge of the handling of soiled linen. Residents interviewed are overall satisfied with the return of their clothes from the laundry, although residents have raised concerns about lost items, which the business and care manager has followed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 managers informed that these staff are being encouraged to undertake the New Zealand Qualifications Authority Certificate in Cleaning (Level 2) and records sighted confirmed training such as management of chemicals has been undertaken. Chemicals were stored in a lockable cupboard and were in appropriately labelled containers. Housekeepers’ trollies are lockable to assist with the safety of chemical storage.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the results of the latest audits were viewed. Similarly, questions on these issues sit within the residents’ satisfaction survey.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noted in 1.4.2, all care suites at Green Gables are configured similarly to an aged care facility. Hence, all essential, emergency and security systems are managed according to requirements of the standard for any residential healthcare service.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available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26 August 2020. A trial evacuation has taken place within the past month and a copy of the outcome was forwarded to the Oceania support office.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of water, including 5,000 litres in tanks, and food are available for use in the event of a civil defence emergency. A civil defence kit was viewed in a cupboard; however, the contents require review and this has been raised for corrective action. There is a gas barbecue for cooking in the event of a power failure.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and if not answered within five minutes the call will escalate to the cell phone of the business and care manager. Checks to ensure all call bells are operational are completed monthly. The business and care manager downloads the response timeframes at least monthly or when residents or family members suggest a response timeframe was too long. If timeframes are longer than considered acceptable, or patterns of delayed responses emerge, then this is followed up by the business and care manager or the clinical manager for quality improvement purposes. There were no complaints in relation to call bell answering.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including windows having restricted openings. Doors and windows are locked at predetermined times for both winter and summer. Security checks of the premises are undertaken by a security company each night. A corrective action was raised as there were no signs in situ to alert people of closed circuit cameras at nine entrance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were warm on the two days of the audit visit. Rooms have natural light, opening external windows with security latches and most have a patio door onto an outside balcony or patio. Heat pumps are in each bedroom and communal area and can be adjusted according to personal comfort. Vents to emit heat from a main heat pump unit were in communal areas and hallways. A small gas fire is in one of the downstairs lounge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Green Gables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by Oceania Healthcare’s infection control team at the organisations support office.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CM at Green Gables is the designated infection control nurse (ICN), whose role and responsibilities are defined in a job description. The ICN is responsible for Infection control matters, including surveillance results. These are reported to the infection control committee meeting, where any actions required is discussed and actions implemented. Surveillance results and required actions are tabled at the monthly quality, staff, and RN meetings. Infection control statistics are entered in the organisation’s electronic database and benchmarked within the organisation’s other facilities. The ICN meets fortnightly onsite with the organisation’s regional manager and incidents of infections are discussed. Every month the four CMs in the region meet with the regional manager and discuss any IPC concerns. The organisations infection control advisor at the organisations head office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Details on the number of infections are made known to staff through meetings and an infection control report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has appropriate skills, knowledge, and qualifications for the role, and has undertaken post graduate training in infection prevention and control and attended relevant study days, as verified in training records sighted. The ICN has undertaken the e-learning Covid tracing training on the MOH website, in early 2021. Well-established local networks are available at the NDHB. The ICN/CM attends a clinical leader meeting every two months with the NDHB. Different topics are discussed, and discussion includes infection control practices. </w:t>
            </w:r>
          </w:p>
          <w:p w:rsidR="00EB7645" w:rsidRPr="00BE00C7" w:rsidP="00BE00C7">
            <w:pPr>
              <w:pStyle w:val="OutcomeDescription"/>
              <w:spacing w:before="120" w:after="120"/>
              <w:rPr>
                <w:rFonts w:cs="Arial"/>
                <w:b w:val="0"/>
                <w:lang w:eastAsia="en-NZ"/>
              </w:rPr>
            </w:pPr>
            <w:r w:rsidRPr="00BE00C7">
              <w:rPr>
                <w:rFonts w:cs="Arial"/>
                <w:b w:val="0"/>
                <w:lang w:eastAsia="en-NZ"/>
              </w:rPr>
              <w:t>The ICN has access to residents’ records and diagnostic results to ensure timely treatment and resolution of any infections. When an infection is diagnosed the resident is commenced on a treatment plan as advised by the residents GP. A short-term care plan is implemented that documents the management strategies to manage the infection. Details of these strategies are handed over at handover. Family members/next of kin (as identified in the residents’ notes),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confirmed the availability of resources to support the programme and any outbreak of an infection. </w:t>
            </w:r>
          </w:p>
          <w:p w:rsidR="00EB7645" w:rsidRPr="00BE00C7" w:rsidP="00BE00C7">
            <w:pPr>
              <w:pStyle w:val="OutcomeDescription"/>
              <w:spacing w:before="120" w:after="120"/>
              <w:rPr>
                <w:rFonts w:cs="Arial"/>
                <w:b w:val="0"/>
                <w:lang w:eastAsia="en-NZ"/>
              </w:rPr>
            </w:pPr>
            <w:r w:rsidRPr="00BE00C7">
              <w:rPr>
                <w:rFonts w:cs="Arial"/>
                <w:b w:val="0"/>
                <w:lang w:eastAsia="en-NZ"/>
              </w:rPr>
              <w:t>All present residents and staff who have consented to receiving the Covid-19 and flu vaccinations have been vaccinated. New staff requiring vaccinations will attend the local vaccination centre. Vaccination rollout meetings with head office occur fortnightly, via Zoom, as does a clinical support and Covid management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Covid-19 management plan in place that details everyone’s responsibility during a change in alert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the ICN. Training on donning and doffing of personal protective equipment is ongoing as is Covid training and associated questionnaires to evaluate staffs ongoing knowledge. Content of training is documented and evaluated to ensure it was relevant, current, and understood. A record of attendance is maintained.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ICN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Evidence is sighted of a very low number of infections at Green Gables.</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Green Gables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described their role as restraint coordinator in minimising the use of restraints and noted the challenges in discouraging restraints such as bed rails after a person has been in the public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According to the restraint coordinator, no restraints have been used since the facility opened in August 2020. This was confirmed in the restraint register, which is blank.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Bedrails are used as an enabler for one resident and is clearly recorded as being used voluntarily. The resident described their use of the enabler, which supports their independence.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any enabler is voluntary and the use of restraint is to be minimised.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891"/>
        <w:gridCol w:w="2560"/>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receive information about how to respond in an emergency and all staff receive ongoing training on this topic each year. Ensuring there are adequate and appropriate emergency supplies and equipment is an aspect of emergency management that is checked via internal audit processes. Adequate blankets, water and food supplies for example are available, as is a gas barbecue. Emergency lighting is in situ and a civil defence kit is stored in a cupboard. A review of the civil defence kit showed not all required items were there. The list of contents in the Oceania policy is not consistent with the list in the cupboard where the kit is stored and there is no evidence available to demonstrate the contents had been checked against either list since the facility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facility revealed security cameras are in situ. The business and care manager explained these are only at doorways and informed there are nine in total. There was no evidence of signage to alert people of the surveillance cameras as required by the Privacy Act 1993.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Contents of the civil defence kit are incomplete. The list of contents in the Oceania policy is not consistent with the list in the cupboard where the kit is stored and there is no evidence available to demonstrate the contents have been checked against either list since the facility opened. </w:t>
            </w:r>
          </w:p>
          <w:p w:rsidR="00EB7645" w:rsidRPr="00BE00C7" w:rsidP="00BE00C7">
            <w:pPr>
              <w:pStyle w:val="OutcomeDescription"/>
              <w:spacing w:before="120" w:after="120"/>
              <w:rPr>
                <w:rFonts w:cs="Arial"/>
                <w:b w:val="0"/>
                <w:lang w:eastAsia="en-NZ"/>
              </w:rPr>
            </w:pPr>
            <w:r w:rsidRPr="00BE00C7">
              <w:rPr>
                <w:rFonts w:cs="Arial"/>
                <w:b w:val="0"/>
                <w:lang w:eastAsia="en-NZ"/>
              </w:rPr>
              <w:t>Nine closed circuit security cameras have been installed at entrances around the facility. There are no signs installed to inform people of these.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supplies and equipment are available to meet the needs of residents and staff in the event of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alerts all people entering the building that security cameras are in situ.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Green Gables</w:t>
    </w:r>
    <w:bookmarkEnd w:id="58"/>
    <w:r>
      <w:rPr>
        <w:rFonts w:cs="Arial"/>
        <w:sz w:val="16"/>
        <w:szCs w:val="20"/>
      </w:rPr>
      <w:tab/>
      <w:t xml:space="preserve">Date of Audit: </w:t>
    </w:r>
    <w:bookmarkStart w:id="59" w:name="AuditStartDate1"/>
    <w:r>
      <w:rPr>
        <w:rFonts w:cs="Arial"/>
        <w:sz w:val="16"/>
        <w:szCs w:val="20"/>
      </w:rPr>
      <w:t>15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