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Selwyn Care Limited - Ivan Ward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Selwyn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Ivan Ward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April 2021</w:t>
      </w:r>
      <w:bookmarkEnd w:id="7"/>
      <w:r w:rsidRPr="009418D4">
        <w:rPr>
          <w:rFonts w:cs="Arial"/>
        </w:rPr>
        <w:tab/>
        <w:t xml:space="preserve">End date: </w:t>
      </w:r>
      <w:bookmarkStart w:id="8" w:name="AuditEndDate"/>
      <w:r w:rsidR="00A4268A">
        <w:rPr>
          <w:rFonts w:cs="Arial"/>
        </w:rPr>
        <w:t>9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Selwyn Ivan Ward is part of The Selwyn Foundation Group.  The facility is certified to provide rest home and hospital (geriatric and medical) and dementia level care for up to 90 residents.  On the days of audit there were 85 residents.  </w:t>
      </w:r>
    </w:p>
    <w:p w:rsidRPr="00A4268A">
      <w:pPr>
        <w:spacing w:before="240" w:line="276" w:lineRule="auto"/>
        <w:rPr>
          <w:rFonts w:eastAsia="Calibri"/>
        </w:rPr>
      </w:pPr>
      <w:r w:rsidRPr="00A4268A">
        <w:rPr>
          <w:rFonts w:eastAsia="Calibri"/>
        </w:rPr>
        <w:t xml:space="preserve">The care manager oversees the service with the support of the assistant care manager, village manager and organisational managers. Residents, relatives, and the general practitioner interviewed spoke positively about the service provided.  Improvements have been made since the last audit including embedding of the ‘neighbourhood’ model that encourages residents to be as independent as possible.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has addressed one of the two previous audit shortfalls around care plan documentation.  There continues to be a shortfall around care implementation in relation to neurological observations.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village and care manager are responsible for the day-to-day operations along with the assistant care manager. </w:t>
      </w:r>
    </w:p>
    <w:p w:rsidRPr="00A4268A">
      <w:pPr>
        <w:spacing w:before="240" w:line="276" w:lineRule="auto"/>
        <w:rPr>
          <w:rFonts w:eastAsia="Calibri"/>
        </w:rPr>
      </w:pPr>
      <w:r w:rsidRPr="00A4268A">
        <w:rPr>
          <w:rFonts w:eastAsia="Calibri"/>
        </w:rPr>
        <w:t xml:space="preserve">Goals are documented for the service with evidence of regular reviews.  A quality and risk management programme is in place.  Data is collected, analysed, and discussed and changes made as a result of trend analysis.  Quality improvement plans show evidence of resolution of issues when service shortfalls are identified.  Meetings are held to discuss quality and risk management processes and results.  Health and safety policies, systems and processes are implemented to manage risk. </w:t>
      </w:r>
    </w:p>
    <w:p w:rsidRPr="00A4268A">
      <w:pPr>
        <w:spacing w:before="240" w:line="276" w:lineRule="auto"/>
        <w:rPr>
          <w:rFonts w:eastAsia="Calibri"/>
        </w:rPr>
      </w:pPr>
      <w:r w:rsidRPr="00A4268A">
        <w:rPr>
          <w:rFonts w:eastAsia="Calibri"/>
        </w:rPr>
        <w:t xml:space="preserve">Appropriate employment processes are adhered to.  An education and training programme is established and implemented.  The roster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information is provided to residents and family on admission to services.  The service utilises a computer-based care planning and progress note system.  Resident records reviewed provided evidence that the registered nurses utilise the interRAI and other electronic assessments to assess, plan and evaluate care needs of the residents.  Care plans are developed in consultation with the resident and/or family.  Care plans demonstrate service integration and are reviewed at least six-monthly.  Resident files include three monthly review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and medications are recorded using an electronic medication management system.  All staff responsible for administration of medicines completes education and medicines competencies.  The medicines records reviewed included documentation of allergies and sensitivities and are reviewed at least three-monthly by the general practitioner/nurse practitioner.  </w:t>
      </w:r>
    </w:p>
    <w:p w:rsidRPr="00A4268A" w:rsidP="00621629">
      <w:pPr>
        <w:spacing w:before="240" w:line="276" w:lineRule="auto"/>
        <w:rPr>
          <w:rFonts w:eastAsia="Calibri"/>
        </w:rPr>
      </w:pPr>
      <w:r w:rsidRPr="00A4268A">
        <w:rPr>
          <w:rFonts w:eastAsia="Calibri"/>
        </w:rPr>
        <w:t xml:space="preserve">A varied activities programme is in place for the rest home, hospital, and secure unit residents.  The programme includes community visitors and outings, entertainment and activities that meet the recreational preferences and abilities of the residents.  </w:t>
      </w:r>
    </w:p>
    <w:p w:rsidRPr="00A4268A" w:rsidP="00621629">
      <w:pPr>
        <w:spacing w:before="240" w:line="276" w:lineRule="auto"/>
        <w:rPr>
          <w:rFonts w:eastAsia="Calibri"/>
        </w:rPr>
      </w:pPr>
      <w:r w:rsidRPr="00A4268A">
        <w:rPr>
          <w:rFonts w:eastAsia="Calibri"/>
        </w:rPr>
        <w:t xml:space="preserve">The menu is designed and reviewed by a registered dietitian and all meals are cooked on site (in a commercial kitchen) by an external contractor.  Residents' individual needs are identified.  There is a process in place to ensure changes to residents’ dietary needs are communicated to the kitchen.  Regular audits of the kitchen occur.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displays a current building warrant of fitness.  Furniture and fittings are selected with consideration to residents’ abilities and functioning.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 policy of restraint minimisation.  The service is restraint and enabler free with other interventions used to support residents when required.  Staff regularly receive education and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of infections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5"/>
        <w:gridCol w:w="1280"/>
        <w:gridCol w:w="103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interviewed included the following: four managers including the village manager, care manager, assistant care manager and clinical quality manager; three registered nurses (including one identified as a senior registered nurse), four care partners, two house leads (care partners) from a range of suites; the diversional therapist, cook, and student nurse.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total of nine complaints were received in 2020 and two in 2021 year to date.  There were no trends identified.  Two complaints reviewed confirmed that a comprehensive follow up of all complaints is logged with complaints being discussed in staff meetings.  All complaints received have been documented as resolved with appropriate corrective actions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 up against aspects of a complaint that included Quality and Risk Management Systems – wound care policy and Human resource management – staff training on wound care/policy. There were no identified issues in respect of this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they feel comfortable in bringing up concerns with the registered nurses (RNs) and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(seven including three from the rest home and four from the hospital), and relatives (four from the dementia unit) confirmed that they feel comfortable in bringing up concerns with the registered nurses (RNs) and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24 incident reports reviewed in 2021 met this requirement.  Family members interviewed confirmed they are notified following a change of health status of their family member.  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Selwyn Ivan Ward is part of The Selwyn Foundation Group.  The facility is certified to provide rest home and hospital (geriatric and medical) and dementia level care for up to 90 residents.  Of the 90 beds, 72 are identified as being dual purpose rest home or hospital, and there are eighteen dementia beds.  On the days of audit there were 85 residents with 20 residents receiving rest home level care, 47 were receiving hospital care, and 18 receiving secure dementia care.  All residents were on the age-related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Selwyn Ivan Ward is a newly built facility within the Selwyn Village which was opened November 2018.  The Selwyn Foundation has an overarching five-year strategic plan 2018 to 2022, which includes the model of care ‘The Selwyn Way’ which underpins how the Selwyn Foundation provides services within the context of its mission.  There is a Selwyn Ivan Ward business plan 2020-2021.  The business plan is reviewed quarterly by the village and care managers at the performance appraisal/coaching session for the care manager.  The plan was reviewed as planned.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Selwyn Ivan Ward is managed by an experienced care manager who has had 19 years’ experience in aged care including three years’ experience at Selwyn Village as care manager.  The care manager has previously worked for five years in a psychogeriatric unit in the district health board.  The assistant care manager is newly appointed and has a background in home and community services.  There are two senior registered nurses and a village manager who also provide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managers and senior RNs have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has been fully implemented.  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at a national level by the clinical governance group with input from facility staff every two years or as required.  Clinical guidelines are in place to assist care staff. There is a wound management policy that was last reviewed in February 2020. The 2020 and 2021 audit schedule includes the need to complete a pressure injury and wound management audit. The last audit was sighted as having been completed as per schedule in December 2020. The care manager, assistant care manager and RNs interviewed were all able to describe management or pressure injuries and wounds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indicators are benchmarked against other Selwyn facilities and other providers.  Quality improvement plans (QIPs) are developed when service shortfalls are identified, and these are monitored by group office.  Quality and risk performance is reported across facility meetings, including staff meetings (that include all aspects of the quality programme), and registered nurse (RN) meetings.  Additional meetings include health and safety meetings with these also held monthly.  The two health and safety representatives interviewed were able to describe their role in the service as per policy and legislation.  They attend a village health and safety meeting facilitated by the overarching village health and safety officer.  There are daily huddles with these documented, and a clinical review with staff held on Friday to catch up and plan prior to the weekend.  Minutes are documented for all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monthly resident meetings with family invited to attend.  A review of meeting minutes shows that these are well attended.  The care manager also talks with residents and family who are in the neighbourhoods during the week at the dining table to get feedback.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expectation that annual resident and relative surveys are completed with results communicated to residents and staff.  The surveys were completed just prior to the certification audit for 2021 noting that a decision was made not to circulate a survey in 2020. </w:t>
            </w:r>
          </w:p>
          <w:p w:rsidR="00EB7645" w:rsidRPr="00BE00C7" w:rsidP="00BE00C7">
            <w:pPr>
              <w:pStyle w:val="OutcomeDescription"/>
              <w:spacing w:before="120" w:after="120"/>
              <w:rPr>
                <w:rFonts w:cs="Arial"/>
                <w:b w:val="0"/>
                <w:lang w:eastAsia="en-NZ"/>
              </w:rPr>
            </w:pPr>
            <w:r w:rsidRPr="00BE00C7">
              <w:rPr>
                <w:rFonts w:cs="Arial"/>
                <w:b w:val="0"/>
                <w:lang w:eastAsia="en-NZ"/>
              </w:rPr>
              <w:t>Risk management, hazard control and emergency policies and procedures are in place.  The risk register is updated monthly, and as new risks emerge with new risks escalated to the organisational risk committee with monthly reports then to the Board.  There are procedures to guide staff in managing clinical and non-clinical emergencies. Staff interviewed were all able to describe how to respond in the event of an emergency.  Falls prevention strategies are in place including individual and group exercise programme; meeting individual toileting needs; sensor mats; use of perimeter guard mattresses; increased monitoring; identification and meeting of individual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24 incident/accident forms (a sample from 2021 records) identified that forms are fully completed and include follow-up by a registered nurse.  Neurological observations evidence that they had been consistently completed for 9 of the 13 unwitnessed falls reviewed as per policy (link 1.3.6.1).  The care manager and senior registered nurses are involved in the adverse event process and all incidents showed that improvements were considered both for the resident concerned and the service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a separate file for all critical and more serious events.  Two of the events (pressure injuries) required a section 31 report and these were documented.  All of the critical/more serious events documented an in-depth review and follow-up.  There is a debriefing process for all critical incidents that includes a staff debrief and a review of the incident at the Clinical Governance Group.</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infectious outbreaks at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 place.  Six staff files reviewed (the assistant care manager, three RNs [including one senior RN], and two care partners) included a comprehensive recruitment process including: reference checking, signed employment contracts and job descriptions, completed orientation programmes and annual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The Selwyn Foundation have an online interactive video and quiz training programme.  The training plan is implemented using a mixture of electronic and on-site training including toolbox talks.  There is an attendance register for each training session and an individual staff member record of training.  Staff have had training in 2020 and 2021 around wound management as per the reviewed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staff who regularly work in the dementia unit.  All who work in the dementia unit have completed the required NZQA dementia education modules.  There are also four staff who have completed level 2 Careerforce training (plus two currently in training), 11 who have completed level 3 and eight who have completed level four training with four currently in training for this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Six of ten registered nurses have completed their interRAI training as well as the care manager and assistant care manager.  There are implemented competencies for registered nurses with these signed off as being completed in the three registered nurse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 care manager and a senior registered nurse are on duty Monday to Friday and on call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ground floor the dementia wing has separate staffing.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care partners (caregivers) rostered on duty each day to support the registered nurses and meet the needs of residents.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one (on the ground floor) has 12 of 12 beds occupied, (four rest home level and eight hospital residents).  Household two (on the ground floor) has 12 of 12 beds occupied, (10 rest home level and two hospital residents).  The houses are staffed together with four care partners in the morning (two full shift, one from 7 am-11 am and one from 7 am-1 pm).  There are three in the afternoon shift (one full shift, one 4 pm-10 pm, one 4 pm-8 pm).  There is one care partner on a full shift overnight.  There is one registered nurse rostered on the morning shift.  The registered nurse rostered onto houses three and four covers houses one and two when a registered nurse is not on. </w:t>
            </w:r>
          </w:p>
          <w:p w:rsidR="00EB7645" w:rsidRPr="00BE00C7" w:rsidP="00BE00C7">
            <w:pPr>
              <w:pStyle w:val="OutcomeDescription"/>
              <w:spacing w:before="120" w:after="120"/>
              <w:rPr>
                <w:rFonts w:cs="Arial"/>
                <w:b w:val="0"/>
                <w:lang w:eastAsia="en-NZ"/>
              </w:rPr>
            </w:pPr>
            <w:r w:rsidRPr="00BE00C7">
              <w:rPr>
                <w:rFonts w:cs="Arial"/>
                <w:b w:val="0"/>
                <w:lang w:eastAsia="en-NZ"/>
              </w:rPr>
              <w:t>Household three (on the first floor) has nine of 12 beds occupied, (two rest home level and seven hospital residents).  Household four (on the first floor) has 12 of 12 beds occupied, (one rest home level and 11 hospital residents).  The houses are staffed together with five care partners in the morning (four full shift, one from 7 am-11 am).  There are four in the afternoon shift (three full shift, one 4 pm-8 pm).  There are two care partners on a full shift overnight with one in each house.  There is one registered nurse rostered on each shift.</w:t>
            </w:r>
          </w:p>
          <w:p w:rsidR="00EB7645" w:rsidRPr="00BE00C7" w:rsidP="00BE00C7">
            <w:pPr>
              <w:pStyle w:val="OutcomeDescription"/>
              <w:spacing w:before="120" w:after="120"/>
              <w:rPr>
                <w:rFonts w:cs="Arial"/>
                <w:b w:val="0"/>
                <w:lang w:eastAsia="en-NZ"/>
              </w:rPr>
            </w:pPr>
            <w:r w:rsidRPr="00BE00C7">
              <w:rPr>
                <w:rFonts w:cs="Arial"/>
                <w:b w:val="0"/>
                <w:lang w:eastAsia="en-NZ"/>
              </w:rPr>
              <w:t>Household five (on the second floor) has 12 of 12 beds occupied, (four rest home level and eight hospital residents).  Household six (on the second floor) has 10 of 12 beds occupied, (10 hospital residents).  The houses are staffed together with five care partners in the morning (four full shift, one from 7 am-11 am).  There are four in the afternoon shift (three full shift, one 4 pm-8 pm).  There are two care partners on a full shift overnight with one in each house.  There is one registered nurse rostered on each shift.</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18 of 18 beds occupied.  There are four care partners in the morning (three full shift, one from 7 am-11 am).  There are three care partners in the afternoon shift (two full shift, one 4 pm-10 pm).  There are two care partners on a full shift overnight.  There is one registered nurse rostered on seven days a week for one shift per day and then the registered nurse in houses five and six covers the dementia unit as well.  There is a registered nurse floating nurse who covers houses one and two and the dementia unit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house leads (care partners) on the morning and afternoon shifts who support the RNs.  There is a Selwyn bureau and staff at times are asked to stay on if they wish to cover a shift if someone has called in for leave at the last minute.  A review of rosters confirmed that staff are always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able to access any house easily with two lifts in place and stairs.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(standard operating procedures) in place for all aspects of medication management, including self-administration.  The RN checks all medications on delivery against the medication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responsible for the administering of medications have completed annual medication competencies and annual medication education.  Caregivers who act as a second checker also had a medication competency.  There were no self-medicating residents on the day of audit, however self-medicating competencies and procedures for three monthly reviews and monitoring were in place should they be required.  The four medication rooms were clean and well organised, all medications were in date and stored appropriately.  The medication fridges have temperatures recorded daily and these are within acceptable ranges.</w:t>
            </w:r>
          </w:p>
          <w:p w:rsidR="00EB7645" w:rsidRPr="00BE00C7" w:rsidP="00BE00C7">
            <w:pPr>
              <w:pStyle w:val="OutcomeDescription"/>
              <w:spacing w:before="120" w:after="120"/>
              <w:rPr>
                <w:rFonts w:cs="Arial"/>
                <w:b w:val="0"/>
                <w:lang w:eastAsia="en-NZ"/>
              </w:rPr>
            </w:pPr>
            <w:r w:rsidRPr="00BE00C7">
              <w:rPr>
                <w:rFonts w:cs="Arial"/>
                <w:b w:val="0"/>
                <w:lang w:eastAsia="en-NZ"/>
              </w:rPr>
              <w:t>Twelve medication charts were reviewed.  Photo identification and allergy status was on all charts.  All medication charts had been reviewed by the GP at least three-monthly.  All resident medication administration signing sheets corresponded with the medication chart.  All medication charts evidence full and comprehensive documentation of non-packaged regular medication orders.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individual food, fluids and nutritional needs were met.  Residents are provided with a balanced diet which meets their cultural and nutritional requirements.  The food service is contracted to an external provider.  The meals are cooked on site in the commercial kitchen that provides for all the facilities on the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contractors have a summer and winter menu reviewed by a registered dietitian as per the contract and they also provide dietetic input into the provision of special menus and diets where required.  A dietary assessment is completed on all residents at the time they are admitted.  Residents with special dietary needs have these needs identified.  Resource information on these diets is available in the kitchen and via the dietitian.  Resident forums discuss food and feedback is given.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expressed satisfaction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is available such as lipped plates/assist cups/grip and built-up cutlery and on observing mealtimes it was noted there were sufficient staff to assist residents including in the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well organised, and all aspects of food procurement, production, preparation, storage, delivery, and disposal complied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food control plan which expires January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reviewed were resident-centred.  Interventions documented support needs and provided detail to guide care.  The sample of care plans reviewed identified that interventions for pain management, falls prevention and chronic wound management were appropriately documented and this is an improvement on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When a resident’s condition changes the RN initiates a GP visit or nursing specialist referral.  Residents interviewed reported their needs were being met.  Family members interviewed stated the care and support met their expectations for their relative.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are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care plans are all electronic and include an assessment, wound management regime and evaluation.  All documented regular review.  Thirty-three wounds were documented on the day of audit: ten skin tears, fifteen chronic wounds (one resident has four cancerous lesions), seven grazes and one grade 2 pressure injury.  Resident files sampled, including the grade 2 community acquired pressure injury evidenced timely referral to allied health professionals including DHB wound nurse specialist and dietitian.  The shortfall regarding this identified at the previous certification audit has been resolved.  Resident records reviewed identified wound and pain management.  The wound care specialist is involved with eight of the chronic wounds.</w:t>
            </w:r>
          </w:p>
          <w:p w:rsidR="00EB7645" w:rsidRPr="00BE00C7" w:rsidP="00BE00C7">
            <w:pPr>
              <w:pStyle w:val="OutcomeDescription"/>
              <w:spacing w:before="120" w:after="120"/>
              <w:rPr>
                <w:rFonts w:cs="Arial"/>
                <w:b w:val="0"/>
                <w:lang w:eastAsia="en-NZ"/>
              </w:rPr>
            </w:pPr>
            <w:r w:rsidRPr="00BE00C7">
              <w:rPr>
                <w:rFonts w:cs="Arial"/>
                <w:b w:val="0"/>
                <w:lang w:eastAsia="en-NZ"/>
              </w:rPr>
              <w:t>Care plans where pain and wound care was a current issue had wound and pain management strategies/interventions documented.  Monitoring of pain was completed on pain assessments and via the electronic medication system.  Referrals to allied health services such as wound care specialist was completed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wound policy had been recommended in connection to a complaint directed to an external provider, this was reviewed during the audit and found to be comprehensive and fit for purpose.  Staff training regarding the classification of wounds had been scheduled to take place two weeks after the date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use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are taken for some incidents which involve a resident having an unwitnessed fall or a hit to the head.  The shortfall identified at the previous audit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Selwyn Ivan Ward employs one diversional therapist and one activity coordinator who both work full-time.  Activities are provided seven days a week with additional assistance from the care partners in each unit as required.  A wide range of activities, addressing the abilities and needs of residents in the hospital and rest home, are offered.  Activities include physical, mental, spiritual, and social aspects of life to improve and maintain residents’ wellbeing.  A programmed timetable was available for each care level, along with additional material promoting specific activities to encourage residents to join 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the diversional therapist completes an assessment for each resident and an activity plan is completed.  A record is kept of individual resident’s activities and progress notes completed monthly.  Reviews are conducted six-monthly (or earlier should the residents condition determine) as part of the care plan evaluation/review.  The resident/family/EPOA as appropriate is involved in the development of the activity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they enjoyed the variety of activities and were satisfied with the activities programme.  Activities included outings as well as community involvement.  Some of those included in activities offered are church groups, trips to local restaurants, pet therapy, musicians, yoga, and Tai Chi.  There are volunteers that assist with a variety of activities including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developed around the interest of the residents.  A forum is held monthly where residents and relatives have input.  Minutes are recorded at the forum, quality improvements identified, and feedback given.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showed long-term care plans had six monthly reviews completed and were updated when needs changed.  Clinical reviews were documented in the multidisciplinary review (MDR) records, which included input from the GP, RNs, activities staff, physiotherapist, and resident/family.  Progress notes were completed and reflected appropriate responses to interventions and treatments.  Changes to care were documented.  Documentation of GP visits evidenced that reviews were occurring at least three-monthly.  Short-term care plans were in use for short-term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 to six households of twelve residents plus an eighteen-bed secure dementia unit.  All care beds (dementia excluded) are dual purpose.  There are multiple lifts, and stairs access between the levels and secure entrance and exits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August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July 2021.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safely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accessing the outdoor gardens and courtyards.  Seating and shade are provided.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 dementia care unit has an open plan dining/lounge area.  There is free and safe access to the outdoor area with raised gardens,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Selwyn’s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all infections is entered on to a monthly infection summary.  This data is monitored and evaluated monthly and annually and provided to Selwyn head office for benchmarking.  Infections are part of the key performance indicators.  Outcomes and actions are discussed at quality/staff meetings.  If there is an emergent issue, it is acted upon in a timely manner.  Reports are easily accessible.  There have been no outbreaks since the previous audit.  Hand sanitisers are appropriately placed throughout the facility.  Visitors are asked not to visit if they are unwell.  Residents are offered the influenza vaccine.  </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 doffing and use of PPE.  During the lockdown period, more frequent head of department meetings were instigated, and stocks of PPE increased as an emergency preparation measure in addition to the maintenance of regular stock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includes the definitions of restraint and enablers, which is congruent with the definitions in NZS 8134.2.  The policy includes comprehensive restraint procedures.  There are clear guidelines in the policy to determine what a restraint is and what an enabler is.  The restraint standards are being implemented and implementation is reviewed through internal audits, facility meetings, and restraint meetings at an organisational level.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would be used voluntarily by the residents.  On the day of audit, the service was not using restraint or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7"/>
        <w:gridCol w:w="1280"/>
        <w:gridCol w:w="4191"/>
        <w:gridCol w:w="3313"/>
        <w:gridCol w:w="23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Thirteen of the 24 incident reports reviewed were for unwitnessed falls or where the resident had hit their head.  Of these, nine showed that neurological observations were completed as per policy. The shortfall identified at the previous audit remains.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the incident forms for a resident who had an unwitnessed fall did not have neurological observations completed as per policy with one of these having been suspected of hitting their head.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neurological observations as per policy for a resident who has had an unwitnessed fall or if they are suspected of hitting their head.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Selwyn Care Limited - Ivan Ward Centre</w:t>
    </w:r>
    <w:bookmarkEnd w:id="58"/>
    <w:r>
      <w:rPr>
        <w:rFonts w:cs="Arial"/>
        <w:sz w:val="16"/>
        <w:szCs w:val="20"/>
      </w:rPr>
      <w:tab/>
      <w:t xml:space="preserve">Date of Audit: </w:t>
    </w:r>
    <w:bookmarkStart w:id="59" w:name="AuditStartDate1"/>
    <w:r>
      <w:rPr>
        <w:rFonts w:cs="Arial"/>
        <w:sz w:val="16"/>
        <w:szCs w:val="20"/>
      </w:rPr>
      <w:t>8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