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 M &amp; D L Beer Holdings Limited - Cardrona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TM &amp; DL Beer Holdings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Cardrona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May 2021</w:t>
      </w:r>
      <w:bookmarkEnd w:id="7"/>
      <w:r w:rsidRPr="009418D4">
        <w:rPr>
          <w:rFonts w:cs="Arial"/>
        </w:rPr>
        <w:tab/>
        <w:t xml:space="preserve">End date: </w:t>
      </w:r>
      <w:bookmarkStart w:id="8" w:name="AuditEndDate"/>
      <w:r w:rsidR="00A4268A">
        <w:rPr>
          <w:rFonts w:cs="Arial"/>
        </w:rPr>
        <w:t>28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Two rooms have been assessed as suitable for rest home or hospital level of care.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Cardrona Rest Home and Hospital is privately owned and operated.  The service is currently certified to provide care for up to 35 residents requiring hospital or rest home level care.  On the day of the audit, there were 33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and management.  The service is overseen by a general manager with additional managerial and clinical support provided by a clinical operations manager/registered nurse.  Residents, family and the GP interviewed spoke positively about the service provided.</w:t>
      </w:r>
    </w:p>
    <w:p w:rsidRPr="00A4268A">
      <w:pPr>
        <w:spacing w:before="240" w:line="276" w:lineRule="auto"/>
        <w:rPr>
          <w:rFonts w:eastAsia="Calibri"/>
        </w:rPr>
      </w:pPr>
      <w:r w:rsidRPr="00A4268A">
        <w:rPr>
          <w:rFonts w:eastAsia="Calibri"/>
        </w:rPr>
        <w:t xml:space="preserve">In addition to completing a full certification audit, this audit determined the suitability of two additional dual purpose (rest home or hospital level) beds.  </w:t>
      </w:r>
    </w:p>
    <w:p w:rsidRPr="00A4268A">
      <w:pPr>
        <w:spacing w:before="240" w:line="276" w:lineRule="auto"/>
        <w:rPr>
          <w:rFonts w:eastAsia="Calibri"/>
        </w:rPr>
      </w:pPr>
      <w:r w:rsidRPr="00A4268A">
        <w:rPr>
          <w:rFonts w:eastAsia="Calibri"/>
        </w:rPr>
        <w:t xml:space="preserve">One area for improvement identified is related to cultural considerations for Māori residents.  </w:t>
      </w:r>
    </w:p>
    <w:p w:rsidRPr="00A4268A">
      <w:pPr>
        <w:spacing w:before="240" w:line="276" w:lineRule="auto"/>
        <w:rPr>
          <w:rFonts w:eastAsia="Calibri"/>
        </w:rPr>
      </w:pPr>
      <w:r w:rsidRPr="00A4268A">
        <w:rPr>
          <w:rFonts w:eastAsia="Calibri"/>
        </w:rPr>
        <w:t>A rating of continuous improvement was awarded for good practice.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Information about services provided is readily available to residents and families.  The Health and Disability Commissioner’s (HDC) Code of Health and Disability Services Consumers' Rights (the Code) is presented to residents and their families during entry to the service.  Policies are implemented to support rights such as privacy, dignity, abuse and neglect, culture, values and beliefs, complaints, advocacy and informed consent.  Care planning accommodates individual choices of residents and/or their family/whānau.  Examples of good practice are evident.  Residents are encouraged to maintain links with the community.  Residents and family reported communication with management and staff is open and transparent.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Services are planned and coordinated and are appropriate to the needs of the residents.  Both the general manager and the clinical operations manager are responsible for the day-to-day operations of the care facility.  The clinical operations manager is supported in her absence by a registered nurse and team of care staff.  Quality and risk management processes are implemented.  Quality goals are documented for the service.  A risk management programme is in place, which includes a risk management plan, incident and accident reporting and health and safety processes.  Adverse, unplanned and untoward events are documented and investigated.  Human resources are managed in accordance with good employment practice.  An orientation programme is in place for new staff.  A staff education and training programme is embedded into practice.  Registered nursing cover is provided twenty-four hours a day, seven days a week.  There are adequate numbers of staff on duty to ensure residents are safe.  The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clinical operations manager/registered nurse takes primary responsibility for managing entry to the service with assistance from the registered nurses.  Comprehensive service information is available.  Initial assessments are completed by a registered nurse, including interRAI assessments.  The registered nurses complete care plans and evaluations within the required timeframes.  Care plans are based on the interRAI outcomes and other assessments.  Residents interviewed confirmed they are involved in the care planning and review process.  Each resident has access to individual and group activities programmes.  The group programme is varied and interesting.  Medicines are stored and managed appropriately.  General practitioners review residents at least three-monthly or more frequently if needed.  Meals are prepared on site and the menu has been reviewed by a dietitian.  The menu is varied and appropriate.  Individual and special dietary needs are catered for.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and emergency evacuation plan.  Ongoing maintenance issues are addressed.  Rooms are individualised.  There are several lounges and a spacious dining area.  There are adequate toilets and showers.  The internal areas are ventilated and heated.  There is sufficient space to allow the movement of residents around the facility using mobility aids.  The outdoor areas are safe and easily accessible.  Cleaning services are well monitored through the internal auditing system.  Laundry is completed on site by dedicated laundry staff.  Two additional single bedrooms have been added since the previous audit.  There is an emergency management plan in place and adequate civil defence supplies in the event of an emergency for residents and staff.</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The restraint coordinator is the clinical operations manager who is responsible for ensuring restraint management processes are followed.  On the day of audit there were no residents using either restraints 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09"/>
        <w:gridCol w:w="1280"/>
        <w:gridCol w:w="99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Consumers’ Rights (the Code) brochures are provided to residents and their families.  Policy relating to the Code is implemented.  Two managers (one general manager (GM) and one clinical operations manager/registered nurse (COM/RN)); and ten staff (three caregivers, one staff RN, one maintenance, two activities coordinators, one cook, one laundry and one cleaner) interviewed, confirmed their understanding of the Code and were able to provide examples of how the Code is applicable to their job role and responsibilities.  Staff receive training about the Code during their induction to the service.  This training continues through the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are discussed with residents and families on admission.  The resident or their EPOA signs written consents.  Six resident files sampled (three rest home - including one ACC resident and three hospital - including one respite resident) demonstrated that advanced directives are signed for separately.  There is evidence of discussion with family when the GP has completed a clinically indicated not for resuscitation order.  Caregivers and registered nurses interviewed confirmed verbal consent is obtained when delivering care.  Family members are involved in decisions that affect their relative’s lives.  Five of six resident files sampled had a signed admission agreement (one newly admitted resident’s agreement was at the lawyers).  Consents were signed.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HDC advocacy brochures are included in the information provided to new residents and their family during their entry to the service.  Staff receive regular education and training on the role of advocacy services, which begins during their induction to the service and continues as a regular in-service topic.</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confirmed that they are aware of the role of advocacy services and their right to access support.  The complaints process is linked to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Residents may have visitors of their choice at any time.  The service encourages the residents to maintain their relationships with friends and community groups.  Assistance is provided by the care staff to ensure that the residents participate in as much as they can safely and desire to do, evidenced through interviews and observations.  Interviews with the rest home level residents confirmed that they are encouraged to remain active in their community and participate in social activities external to the aged care facility.  Local entertainers regularly visit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families during entry to the service.  Access to complaints forms are located at reception.  A register of all complaints received is maintained.  One complaint was lodged in 2020 and one in 2021 (year to date).  </w:t>
            </w:r>
          </w:p>
          <w:p w:rsidR="00EB7645" w:rsidRPr="00BE00C7" w:rsidP="00BE00C7">
            <w:pPr>
              <w:pStyle w:val="OutcomeDescription"/>
              <w:spacing w:before="120" w:after="120"/>
              <w:rPr>
                <w:rFonts w:cs="Arial"/>
                <w:b w:val="0"/>
                <w:lang w:eastAsia="en-NZ"/>
              </w:rPr>
            </w:pPr>
            <w:r w:rsidRPr="00BE00C7">
              <w:rPr>
                <w:rFonts w:cs="Arial"/>
                <w:b w:val="0"/>
                <w:lang w:eastAsia="en-NZ"/>
              </w:rPr>
              <w:t>Both complaints reflected evidence of acknowledgement, an investigation and communication with the complainant within the timeframes determined by HDC.  Staff are kept informed in meetings, evidenced in staff meeting minutes.  Both complaints have been documented as resolved to the complainant’s satisfaction.  Discussions with residents and families/whānau confirmed they were provided with information on the complaints process and remarked that any concerns or issues they may have had were addressed promptly.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HDC advocacy service are included in the resident information that is provided to new residents and their families.  The COM, GM and/or RN staff discuss aspects of the Code with residents and their family on admission.  Discussions relating to the Code are also held during monthly resident meetings, led by activities staff.  All eleven residents (five rest home, six hospital) and four family (two rest home, two hospital) interviewed, reported that they had been provided with information relating to their rights.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belongings are used to decorate their rooms.  Privacy signage is on communal toilet doors.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staff interviewed reported that they knock on bedroom doors prior to entering rooms, ensure doors are shut when cares are being given and do not hold personal discussions in public areas.  They reported that they promote the residents' independence by encouraging them to be as active as possible.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rooms that are being used as double rooms.  All three rooms have privacy curtains and a call bell next to each bed.  </w:t>
            </w:r>
          </w:p>
          <w:p w:rsidR="00EB7645" w:rsidRPr="00BE00C7" w:rsidP="00BE00C7">
            <w:pPr>
              <w:pStyle w:val="OutcomeDescription"/>
              <w:spacing w:before="120" w:after="120"/>
              <w:rPr>
                <w:rFonts w:cs="Arial"/>
                <w:b w:val="0"/>
                <w:lang w:eastAsia="en-NZ"/>
              </w:rPr>
            </w:pPr>
            <w:r w:rsidRPr="00BE00C7">
              <w:rPr>
                <w:rFonts w:cs="Arial"/>
                <w:b w:val="0"/>
                <w:lang w:eastAsia="en-NZ"/>
              </w:rPr>
              <w:t>Guidelines on abuse and neglect are documented in policy.  Staff attend mandatory education and training on abuse and neglect, which begins during their induction to the service.  Links are in place with Age Concern for referral if abuse and/or neglect is suspected.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cultural safety policy is documented for the service.  As per the cultural policy, the individual needs of residents are assessed on admission and as required and that all information regarding cultural (and spiritual) beliefs are identified in the care plan.  The care staff interviewed reported that they value and encourage active participation and input from the family/whānau in the day-to-day care of the residents.  Resident rooms are blessed following a death.  </w:t>
            </w:r>
          </w:p>
          <w:p w:rsidR="00EB7645" w:rsidRPr="00BE00C7" w:rsidP="00BE00C7">
            <w:pPr>
              <w:pStyle w:val="OutcomeDescription"/>
              <w:spacing w:before="120" w:after="120"/>
              <w:rPr>
                <w:rFonts w:cs="Arial"/>
                <w:b w:val="0"/>
                <w:lang w:eastAsia="en-NZ"/>
              </w:rPr>
            </w:pPr>
            <w:r w:rsidRPr="00BE00C7">
              <w:rPr>
                <w:rFonts w:cs="Arial"/>
                <w:b w:val="0"/>
                <w:lang w:eastAsia="en-NZ"/>
              </w:rPr>
              <w:t>There were two residents living at the facility that identified as Māori during the audit.  One family member/whānau and resident were interviewed and stated that their needs as Māori were being met by staff.  The resident stated they were very happy living at Cardrona Rest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files of residents who identify as Māori were reviewed.  Neither file identified the resident’s ethnicity in their care plan.  And the resident interviewed, who identified specific values relating to their culture during the interview around the importance of whānau did not have this documented in their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desires from the time of admission.  This is achieved in collaboration with the resident, family and/or their representative.  The staff demonstrated through interviews and observations that they are committed to ensuring each resident remains a person, even in a state of decline.  Beliefs and values are discussed and incorporated into the residents’ care plans although was missing in one file reviewed of a Māori resident (link 1.1.4.3).  Information is collected through the resident and their family/whānau to identify specific cultural values and identify ways to apply these principles.  Residents and family interviewed confirmed they are involved in developing the resident’s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also described in job descriptions.  Interviews with the care staff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practice was evident.  A registered nurse is on site 24 hours a day, 7 days a week.  A GP visits the facility once a fortnight.  Residents are reviewed by the GP every three months at a minimum.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district health board (DHB) which includes (but is not limited to) specialist visits.  Support is also provided through Hospice New Zealand.  Physiotherapy services are available on an as needed basis through a local provider.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operations manager has completed a postgraduate diploma in health science advanced nursing, specialising in common and chronic health conditions (June 2016).  She was approved to prescribe in primary health and speciality teams in July 2019.  Also, of a high standard are the three-monthly resident reviews that involve family and the notable decrease in residents’ falls over the past 12 months.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interviewed reported that they are either satisfied or very satisfied with the services received.  A resident/family satisfaction survey is completed annually and confirmed very satisfied residents and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is based on the principle that residents and their families have a right to know what has happened to them and to be fully informed at all times.  The policy also describes that open disclosure is part of everyday practice.  The care staff interviewed understood about open disclosure and providing appropriate information and resource material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interviewed confirmed they are kept informed of the resident’s status, including any events adversely affecting the resident.  A family communication sheet is held in the front of the residents’ files.  Families are contacted three-monthly in order to be kept informed (link CI 1.1.8.1).  Ten accident/incident forms reviewed reflected documented evidence of families being informed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through the Citizens’ Advice Bureau.  Families and staff are utilised in the first instance.  There were no residents at the time of the audit who were unable to speak fluent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Cardrona Rest Home provides care for up to 35 residents at rest home and hospital (geriatric and medical) levels of care.  Twelve beds are designated as dual purpose.  During the audit, there were 25 rest home level residents and 8 hospital residents.  One resident (hospital) was on respite and one resident (rest home) was funded by ACC.  All remaining residents were on the age-related residential care contract (ARCC).  Two additional (single) residents’ rooms were assessed as suitable for either rest home or hospital level of care (link 1.4.2).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business plan includes an aim, strategy and measurable goals.  Business goals are regularly reviewed with the GM and COM.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(GM) was employed in February 2015 and is responsible for all non-clinical related activities for two aged care facilities with the same ownership.  Previous experience was held with the Ministry of Primary Industries.  The GM is on site at Cardrona Rest Home three days per week, alternating with the clinical operations manager (COM).  The COM/RN works at this site two days a week (and at another site owned by the same owners three days a week, again alternating with the GM).  She has worked in the aged care sector for approximately 20 years, holds a postgraduate qualification in Advanced Nursing and is approved to prescribe in primary health and specialty teams (link CI 1.1.8.1).  </w:t>
            </w:r>
          </w:p>
          <w:p w:rsidR="00EB7645" w:rsidRPr="00BE00C7" w:rsidP="00BE00C7">
            <w:pPr>
              <w:pStyle w:val="OutcomeDescription"/>
              <w:spacing w:before="120" w:after="120"/>
              <w:rPr>
                <w:rFonts w:cs="Arial"/>
                <w:b w:val="0"/>
                <w:lang w:eastAsia="en-NZ"/>
              </w:rPr>
            </w:pPr>
            <w:r w:rsidRPr="00BE00C7">
              <w:rPr>
                <w:rFonts w:cs="Arial"/>
                <w:b w:val="0"/>
                <w:lang w:eastAsia="en-NZ"/>
              </w:rPr>
              <w:t>Both managers have completed at least eight hours of training related to management of an aged care facility, relevant to their role and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absence of the COM/RN, the second in charge (2IC) RN assumes clinical responsibilities.  All non-clinical and administrative responsibilities are delegated to the GM.  The COM is responsible for administrative responsibilities in the absence of the GM.  The business owner (non-clinical) is also available for support in the absence of the GM.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the GM, COM, and staff confirmed their understanding of the quality and risk management systems that have been put into place.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New policies or changes to policy are communicated to staff, evidenced in meeting minutes.  Staff are requested to sign that they have read the new/revised policies (sighted).</w:t>
            </w:r>
          </w:p>
          <w:p w:rsidR="00EB7645" w:rsidRPr="00BE00C7" w:rsidP="00BE00C7">
            <w:pPr>
              <w:pStyle w:val="OutcomeDescription"/>
              <w:spacing w:before="120" w:after="120"/>
              <w:rPr>
                <w:rFonts w:cs="Arial"/>
                <w:b w:val="0"/>
                <w:lang w:eastAsia="en-NZ"/>
              </w:rPr>
            </w:pPr>
            <w:r w:rsidRPr="00BE00C7">
              <w:rPr>
                <w:rFonts w:cs="Arial"/>
                <w:b w:val="0"/>
                <w:lang w:eastAsia="en-NZ"/>
              </w:rPr>
              <w:t>Quality data collected is collated, trended and analysed using a run chart methodology.  Quality data is regularly communicated to staff via monthly staff meetings and through the use of graphs that are posted each month in the staffroom.  The run charts used to display trends (eg, falls) provides staff with meaningful information (link CI 1.1.8.1).</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 programme is being implemented.  Areas of non-compliance include the initiation of a corrective action plan with corrective actions signed off to evidence their implementation.  There is evidence in the monthly staff meetings to verify staff are informed of audit results and corrective actions.  A quality improvement register is maintained that keeps a running tally of quality initiatives through the use of a quality improvement register (QIR) (eg, remodel of a bedroom and TV lounge into two bedrooms and bathrooms (links 1.2.1, 1.4.2); upgrade to the call bell system; upgrade to the payroll system).  Staff are informed of results, evidenced in the monthly staff meeting minutes.  Staff sign and read the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A health and safety programme is in place.  An interview with the health and safety officer (COM) and review of health and safety documentation confirmed that robust health and safety processes are being implemented.  External contractors are orientated to the facility’s health and safety programme with health and safety permits renewed each year.  The hazard register is regularly reviewed (1 September 2020).  Health and safety checks take place monthly.</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including (but not limited to): sensor mats, increased monitoring for those residents at high risk of falling, and the identification and meeting of individual resident needs.  Falls have reduced significantly since May 2020 (link CI 1.1.8.1).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accidents and incidents reporting policy is in place.  Ten accident/incident forms were reviewed (nine falls with neurological observations completed for unwitnessed falls, and one skin tear).  There was evidence to support actions are undertaken to minimise the number of incidents.  Clinical evaluation of residents following an adverse event is conducted by an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events are linked to the quality and risk management programme.  Staff are kept informed in a timely manner regarding accidents and incidents and the implementation of strategies to reduce the number of adverse events (link CI 1.1.8.1).  </w:t>
            </w:r>
          </w:p>
          <w:p w:rsidR="00EB7645" w:rsidRPr="00BE00C7" w:rsidP="00BE00C7">
            <w:pPr>
              <w:pStyle w:val="OutcomeDescription"/>
              <w:spacing w:before="120" w:after="120"/>
              <w:rPr>
                <w:rFonts w:cs="Arial"/>
                <w:b w:val="0"/>
                <w:lang w:eastAsia="en-NZ"/>
              </w:rPr>
            </w:pPr>
            <w:r w:rsidRPr="00BE00C7">
              <w:rPr>
                <w:rFonts w:cs="Arial"/>
                <w:b w:val="0"/>
                <w:lang w:eastAsia="en-NZ"/>
              </w:rPr>
              <w:t>The GM and COM are aware of the requirement to notify relevant authorities in relation to essential notifications with examples provided (three stage three pressure injuries, one theft, one resident who absconded).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management policies in place which includes the recruitment and staff selection process.  Relevant checks are completed to validate the individual’s qualifications, experience and veracity, evidenced in six staff files randomly selected for review (one RN, one cook, four caregivers).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Copies of practising certificates are kept on file.  The service has implemented an orientation programme that provides new staff with relevant information for safe work practice.  Evidence of completed induction checklists were sighted in all six staff files.  Staff have also signed that they have read the staff induction handbook.  Staff appraisals are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An in-service education programme is being implemented.  Regular in-services are provided by a range of in-house and external speakers including (but not limited to): nurse specialists, Age Concern and the Health and Disability Advocacy Service.  Three RNs (including the COM) have completed interRAI training.  There is a minimum of a first aid qualified staff on duty 24 hours a day, seven days a week and while out on outings with residents.  Out of a total of thirteen caregivers, four have achieved a level four Careerforce qualification in health and well-being and three have achieved a level three qualification.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includes staff rationale and skill mix.  Sufficient staff are rostered to manage the care requirements of the residents.  The GM and COM are available Monday – Friday.  The GM is on site three days a week and the COM is on site the remaining two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had 33 residents at the time of the audit (25 rest home and 8 hospital) and is staffed with one staff RN on each shift, seven days a week.  Three caregivers are rostered on the AM shift (two long and one short (0800 – 1300).  Three caregivers are rostered on the PM shift (two long and one short (1600 – 2100) and two caregivers are rostered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The proposed increase in two dual-purpose beds will result in adding one short shift caregiver on the AM shift and PM shift with no change in staffing for the night shift.  The GM stated that she would need to hire two additional staff and already has two applicants in mind from the local community.</w:t>
            </w:r>
          </w:p>
          <w:p w:rsidR="00EB7645" w:rsidRPr="00BE00C7" w:rsidP="00BE00C7">
            <w:pPr>
              <w:pStyle w:val="OutcomeDescription"/>
              <w:spacing w:before="120" w:after="120"/>
              <w:rPr>
                <w:rFonts w:cs="Arial"/>
                <w:b w:val="0"/>
                <w:lang w:eastAsia="en-NZ"/>
              </w:rPr>
            </w:pPr>
            <w:r w:rsidRPr="00BE00C7">
              <w:rPr>
                <w:rFonts w:cs="Arial"/>
                <w:b w:val="0"/>
                <w:lang w:eastAsia="en-NZ"/>
              </w:rPr>
              <w:t>Extra staff can be called on for increased resident requirements.  Activities staff are rostered seven days a week (five hours Monday – Friday and three hours on Saturday/Sunday).  There are separate domestic staff who are responsible for cleaning (five days a week) and laundry services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An initial support plan is also developed in this time.  Personal resident information is kept confidential and cannot be viewed by other residents or members of the public.  Residents’ files are protected from unauthorised access by being held in secure rooms.  Archived records are secure in a separate locked storage facility located on the premises.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demonstrated service integration.  Entries are legible, dated, timed and signed by the RN/carer and include their designation.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comprehensive admission policies and processes in place.  Prior to entry all potential residents have a needs assessment completed by the needs assessment and coordination service to assess suitability for entry to the service.  Residents receive an information pack outlining services able to be provided, the admission process and entry to the service.  The clinical operations manager/registered nurse screens all potential residents prior to entry and records all admission enquires.  Residents and relatives interviewed confirmed they received information prior to admission and had the opportunity to discuss the admission agreement with the general manager and the clinical operations manager.  The admission agreement form in use aligns with the requirements of the ARRC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A transfer form accompanies residents to receiving facilities.  Relatives are notified if transfers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were reviewed (six hospital - including one respite resident and six rest home - including one ACC resident ).  There are policies available for safe medicine management that meet legislative requirements.  All medication charts sampled met legislative prescribing requirements.  The medication charts reviewed identified that the GP had reviewed all resident’s medication three-monthly, and all allergies were noted.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clinical staff who administer medications (registered nurses only) have been assessed for competency on an annual basis.  Caregivers who check medications with the registered nurses are competency tested annually.  Education around safe medication administration has been provided.  Staff were observed to be safely administering medications.  Registered nurses interviewed could describe their role regarding medication administration.  The service currently uses an electronic charting system and robotic packed medications.  All medications are checked on delivery against the medication chart and any discrepancies are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 standing orders are used.  The clinical operations manager is a nurse prescriber.  There were three rest home residents self-medicating ointments or inhalers on the day of audit and all required documentation had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fridge and medication room temperatures are recorded regularly, and these are within acceptable ranges.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Cardrona are prepared and cooked on site.  There is a food services manual in place to guide staff.  The food service menu was audited by a dietitian May 2021. The verified food control plan expires 9 August 2022.  There is a four-weekly seasonal menu.  The cook receives dietary information for new residents and is notified of any dietary changes, weight loss or other dietary requirements by the RN.  The cook is aware of any residents with weight loss and provides non-prescribed high protein supplements as instructed by the RN.  Food allergies and dislikes are listed in the kitchen.  Special diets such as diabetic desserts, vegetarian, pureed and alternative choices for dislikes are accommodated.  Cultural and religious food preferences are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meets with residents during meal times, observes and receives verbal feedback on the menu.  The chef has strong links with the RN team where she monitors resident’s meal consumption, records food wastage and reports to the RN about those residents of concern.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plated and served from the kitchen to the rest home and hospital residents in the dining room.  A tray service is available for those residents who wish to have their meals in their rooms.  Staff were observed assisting residents with their meals and drinks.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three freezers and four fridges’ temperatures are checked daily with evidence of corrective actions taken as needed (recordings sighted).  End-cooked food temperatures are recorded daily.  Dry goods are stored adequately.  Chemicals are stored safely.  Cleaning schedules are maintained.  The dishwasher is checked regularly by the chemical supplier.  All staff who work in the kitchen have completed their food safety course.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specialised crockery, plates, mugs and utensils to promote resident independence with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the opportunity to provide feedback on the menu and food services through the resident meeting and resident surveys.  Residents and family members interviewed were very satisfied with the food service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reasons for declining service entry to residents should this occur and communicates this decision to residents/family/whānau and the referring agency.  Anyone declined entry is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Files sampled contained appropriate assessment tools that were completed and assessments that were reviewed at least six-monthly or when there was a change to a resident’s health condition.  InterRAI assessments have been completed at least six-monthly for all long term ARRC residents.  Care plans sampled were developed on the basis of these assessments.  Full nursing, dietary, fall risks and pressure area risk assessment were undertaken for all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reviewed described the support required to meet the resident’s goals and needs.  The care plans sampled identified allied health involvement.  The interRAI assessment process informs the development of the resident’s care plan.  Residents and their family/whānau interviewed reported that they are involved in the care planning and review process.  The care plans are person centred and include physical, spiritual, psychosocial and social needs.  Short-term care plans are used for changes in health status including infections, use of mobility scooter, anxiety/restlessness and wounds.  Staff interviewed reported they found the plans easy to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RNs and caregivers follow the care plan and report progress against the care plan each shift at handover.  If external nursing or allied health advice is required, the RNs will initiate a referral (eg, to the district nurse [hospice nurse] or the mental health nurses).  If external medical advice is required, this will be actioned by the GP.  Staff have access to sufficient medical and dressing supplies.  Sufficient continence products are available and resident files include a continence assessment and plan as part of the plan of care.  Specialist continence advice is available as needed and this could be described.  Palliative care support is available through the hospice and palliative nurse’s visit by referral or request.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monitoring, wound management plans and evaluations (with appropriate timeframes) are in place for residents with wounds (one skin tear, three skin lesions and one resident with seven venous wounds).  There were no pressure injuries at time of audit.  The RNs have access to specialist nursing wound care management advice through the district nursing service and DHB wound care nurse specialist.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weight is recorded on admission and monitored monthly or more frequently.  The RNs and the cook work collaboratively to manage resident healthy weights.  GP notification, dietitian referral or speech language referral for swallowing difficulties are actioned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used included: Pain, behaviour, blood pressure, pulse, temperature, wound, weight and blood glucose levels.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RNs and caregivers demonstrated an understanding of the individualised needs of residents.  Care plan interventions document interventions in sufficient detail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activity coordinators are employed and between them cover Monday to Friday, six hours per day and Saturday and Sunday, three hours per day.  Each resident has an individual activities assessment on admission.  An individual activities plan is developed for each resident by the lead activities coordinator in consultation with the resident, families and RNs.  </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is driven by resident choice and planned monthly.  Each resident is free to choose whether they wish to participate in the group activities programme or their own planned personal programme.  Participation is monitored and documented.  The activities coordinators network with and attend monthly sessions with the Waikato Diversional Therapy Support Group and there are strong links with community.  The home has a van and regular outings occur.  Both coordinators have a current first aid certificate.  Rest home and hospital residents join together for the activity programme which is designed to meet the recreational needs of all residents.  Young people with disabilities are able to participate in a range of activities to support their interests, hobbies and life-long goals.  Group activities reflect ordinary patterns of life and include at least weekly planned visits to the community.  One-on-one time is spent with residents who choose not to participate or are unable to join in the activity programme.  The monthly programme included: live entertainment once or twice a week, visits by pets each week, younger children coming to the home, a school orchestra, a school kapa haka group – thoroughly enjoyed by residents - exercises, ball games, reading, church services, library visit and pamper days which included foot spas.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long-term resident files sampled have a recent activity plan.  The activity coordinators are involved in the resident review and this is appraised at least three-monthly when the care plan is evaluated or when there is a significant change.  Monthly and six-monthly notes are recorded in the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are satisfied with the current activity programme and the one-on-one companionship provided to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demonstrated that the long-term care plan has been evaluated against current goals.  Since 2019 these evaluations have been undertaken routinely three- monthly instead of six-monthly.  This three-monthly evaluation includes involvement of the family where possible and where progress is different from expected, the service responds by initiating changes to the care plan.  There was at least a three-monthly review by the GP.  Alternate evaluations (i.e., six monthly) have been completed using interRAI LTCF and other relevant assessment tools for residents who have had a significant change in health status.  Short-term care plans sighted were evaluated and resolved or added to the long-term care plan if the problem is ongoing, as sighted in resident files sampled.  Where progress is different from expected, the service responds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documentation is maintained on resident files.  The RNs initiate referrals to nurse specialists and allied health services.  Other specialist referrals are made by the GPs.  Referrals and options for care were discussed with the family, as evidenced in medical notes.  The service provided examples of where a resident’s condition had changed, and the resident was reassessed for a higher or a different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the facility.  Safety data sheets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which expires on 9 December 2021.  There is a maintenance person employed part-time to address the reactive and planned maintenance programme.  All reactive maintenance had been completed.  All medical and electrical equipment was recently serviced and/or calibrated (May 2021).  Hot water temperatures are monitored and managed within 43-45 degrees Celsius.  The facility has sufficient space for residents to mobilise using mobility aids.  External areas are well maintained.  Residents have access to safely designed external areas that have shade.  Staff stated they had sufficient equipment (including personal equipment to support individual needs) to safely deliver the cares as outlined in the resident care plans for all people receiving services.</w:t>
            </w:r>
          </w:p>
          <w:p w:rsidR="00EB7645" w:rsidRPr="00BE00C7" w:rsidP="00BE00C7">
            <w:pPr>
              <w:pStyle w:val="OutcomeDescription"/>
              <w:spacing w:before="120" w:after="120"/>
              <w:rPr>
                <w:rFonts w:cs="Arial"/>
                <w:b w:val="0"/>
                <w:lang w:eastAsia="en-NZ"/>
              </w:rPr>
            </w:pPr>
            <w:r w:rsidRPr="00BE00C7">
              <w:rPr>
                <w:rFonts w:cs="Arial"/>
                <w:b w:val="0"/>
                <w:lang w:eastAsia="en-NZ"/>
              </w:rPr>
              <w:t>Recent reconfiguration of a second TV lounge and a large dysfunctional bathroom has resulted in two additional single, dual purpose bedrooms and a functional bathroom with shower, toilet and handbasin.  There remains lounge space in the form of a conservatory, activities lounge and a TV lounge.  There is also a large and small dining room.</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been working through rooms systematically as they have become free to repaint/decorate.  This includes ensuring double rooms have appropriate privacy equipment and storage appropriate for infection control.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toilets and shower/bathing areas for residents and separate toilets for staff and visitors.  Some bedrooms have shared ensuites and other residents share communal toilets and showers close to their rooms.  Residents interviewed confirmed their privacy is assured when staff are providing assistance with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six double rooms within the facility.  All other bedrooms are single.  In the double rooms, there are privacy curtains.  In the lower level, there are twelve single rooms, six share an ensuite between two rooms.  All resident’s rooms are of an appropriate size to allow care to be provided and for the safe use and manoeuvring of mobility aids.  Residents are encouraged to personalise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several lounges and a large and small dining area.  The lounges and dining room are accessible and accommodate the equipment required for the residents.  The lounges and dining areas are large enough to cater for activities.  Residents are able to move freely through and around these areas and furniture is placed to facilitate this.  Residents were seen to be moving freely both with and without assistance throughout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and cleaning is completed on site by dedicated staff.  They have access to a range of chemicals, cleaning equipment and protective clothing.  The standard of cleanliness is monitored through the internal audit programme.  Residents interviewed were satisfied with the standard of cleanliness and the laundry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at a minimum.  The orientation programme and education and training programme includes fire and security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supplies available in the event of a civil defence emergency including food, water and blankets meeting requirements determined by the Waikato DHB.  A gas barbeque is available.  Civil defence, first aid and pandemic supplies are checked monthly.</w:t>
            </w:r>
          </w:p>
          <w:p w:rsidR="00EB7645" w:rsidRPr="00BE00C7" w:rsidP="00BE00C7">
            <w:pPr>
              <w:pStyle w:val="OutcomeDescription"/>
              <w:spacing w:before="120" w:after="120"/>
              <w:rPr>
                <w:rFonts w:cs="Arial"/>
                <w:b w:val="0"/>
                <w:lang w:eastAsia="en-NZ"/>
              </w:rPr>
            </w:pPr>
            <w:r w:rsidRPr="00BE00C7">
              <w:rPr>
                <w:rFonts w:cs="Arial"/>
                <w:b w:val="0"/>
                <w:lang w:eastAsia="en-NZ"/>
              </w:rPr>
              <w:t>A call bell system is in place.  Residents were observed in their rooms with their call bell alarms in close proximity.  The double rooms have a call bell accessible for each resident.</w:t>
            </w:r>
          </w:p>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staff available 24 hours a day, 7 days a week with a current first aid/CPR certificate.  Activities staff who accompany residents on outings also hold a current first aid/CPR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All rooms have external windows that open allowing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Cardrona Rest Home has an established infection control programme.  The infection control programme, its content and detail, is appropriate for the size, complexity and degree of risk associated with the service.  It is linked into the incident reporting system.  The clinical operations manager/registered nurse is the designated infection control coordinator with support from all staff as members of the infection control team.  Infection control is discussed at all staff meetings.  Minutes are available for staff.  Spot infection control audits have been conducted and include hand hygiene and infection control practices.  Education is provided for all new staff on orientation.  The infection control programme has been reviewed biannually with an additional update of policies relating to Covid in April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operations manager is the designated infection control (IC) coordinator.  There are adequate resources to implement the infection control programme for the size and complexity of the organisation.  The IC coordinator and IC team (comprising all staff) have good external support from the local laboratory infection control team and IC nurse specialist at the DHB, they also subscribe to an external advisory service (Bug Control).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along with additional toolbox and handover infection control educational sessions over the past year.  The infection control coordinator has completed education in infection control as part of her postgraduate studies and has also completed online infection control training.  There have been no outbreaks at the home.  Information is provided to residents and visitors that is appropriate to their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Cardona’s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all staff meetings.  If there is an emergent issue, it is acted upon in a timely manner.  Reports are easily accessible to the clinical operations manager/registered nurse.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The COM is the restraint coordinator.  No residents were using restraints or enablers at the time of the audit.  Restraint processes are in place if restraint is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regular training around restraint minimisation that begins during their induction to the service and is repeated annually.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59"/>
        <w:gridCol w:w="1280"/>
        <w:gridCol w:w="5115"/>
        <w:gridCol w:w="3650"/>
        <w:gridCol w:w="23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1.1.4.3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plans to ensure Māori receive services commensurate with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to address cultural safety.  Staff attend cultural training.  Two residents identified as Māori at the time of the audit and neither resident’s ethnicity was identified in their care plans.  One resident and their whānau were interviewed.  This resident’s care plan did not address ethnicity or specific Māori values that were identified during the interview.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Māori residents living at the facility did not have their ethnicity identified in their care plans.  One Māori resident interviewed indicated specific values to the auditor.  These values around the importance of whānau were not documented in the resident’s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residents who identify as Māori have this identified in their care plan, and that the care plan addresses any additional cultural values and beliefs held by the resident.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15"/>
        <w:gridCol w:w="1280"/>
        <w:gridCol w:w="4895"/>
        <w:gridCol w:w="63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Examples of good practice were evident during the audit.  In particular, the clinical operations manager is approved to prescribe in primary health and specialty teams (July 2019), which has improved the overall timeliness and efficiency when dealing with unwell residents; families are provided with a comprehensive review of the resident on a three-monthly basis; and the rate of residents’ falls have reduced significantly over the past 12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achievement of the rating that the service provides an environment that encourages good practice is beyond the expected full attainment.  The service has conducted a number of quality improvement projects where a review process has occurred, including analysis and reporting of findings has occurred.  There is evidence of action taken based on findings that has made improvements to service providers.  The projects include reviewing if the improvements have had positive impacts on resident safety or resident satisfaction.  Examples include the following: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  A registered nurse prescribing policy and associated guidelines have been developed and implemented.  This has resulted in the timeliness of care for residents outside of the doctor’s availability, the prescribed care is more specific and individualised with the resident well known to the prescriber (clinical operations manager).  Standing orders previously in place have been removed.  </w:t>
            </w:r>
          </w:p>
          <w:p w:rsidR="00EB7645" w:rsidRPr="00BE00C7" w:rsidP="00BE00C7">
            <w:pPr>
              <w:pStyle w:val="OutcomeDescription"/>
              <w:spacing w:before="120" w:after="120"/>
              <w:rPr>
                <w:rFonts w:cs="Arial"/>
                <w:b w:val="0"/>
                <w:lang w:eastAsia="en-NZ"/>
              </w:rPr>
            </w:pPr>
            <w:r w:rsidRPr="00BE00C7">
              <w:rPr>
                <w:rFonts w:cs="Arial"/>
                <w:b w:val="0"/>
                <w:lang w:eastAsia="en-NZ"/>
              </w:rPr>
              <w:t>ii)  Families/next of kin (NOK) are provided with a three-monthly review via telephone communications relating to the resident’s condition (including but not limited to nutrition, pain, activities, mobility, activities of daily living, continence, behaviour).  This form is signed and dated with comments by family and the clinical operations manager with follow-up actions documented (if any).  Families interviewed remarked that this initiative is very beneficial, keeps them better informed and that they appreciate this initiative.</w:t>
            </w:r>
          </w:p>
          <w:p w:rsidR="00EB7645" w:rsidRPr="00BE00C7" w:rsidP="00BE00C7">
            <w:pPr>
              <w:pStyle w:val="OutcomeDescription"/>
              <w:spacing w:before="120" w:after="120"/>
              <w:rPr>
                <w:rFonts w:cs="Arial"/>
                <w:b w:val="0"/>
                <w:lang w:eastAsia="en-NZ"/>
              </w:rPr>
            </w:pPr>
            <w:r w:rsidRPr="00BE00C7">
              <w:rPr>
                <w:rFonts w:cs="Arial"/>
                <w:b w:val="0"/>
                <w:lang w:eastAsia="en-NZ"/>
              </w:rPr>
              <w:t>iii) Resident falls have reduced over the past year with falls peaking in May 2020 (36 residents’ falls/1000 bed nights) to as low as four in September 2021.  The COM reported that this is the result of increase staff awareness of residents who are at risk of falling, utilising sensor mats, and implementing regular toileting and checks (intentional rounding) of those residents at risk.  Graphs are posted in the staffroom and care staff interviewed are very aware of which residents are at risk of falling, and the initiatives that have been implemented to help reduce the frequency of falls.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 M &amp; D L Beer Holdings Limited - Cardrona Rest Home &amp; Hospital</w:t>
    </w:r>
    <w:bookmarkEnd w:id="58"/>
    <w:r>
      <w:rPr>
        <w:rFonts w:cs="Arial"/>
        <w:sz w:val="16"/>
        <w:szCs w:val="20"/>
      </w:rPr>
      <w:tab/>
      <w:t xml:space="preserve">Date of Audit: </w:t>
    </w:r>
    <w:bookmarkStart w:id="59" w:name="AuditStartDate1"/>
    <w:r>
      <w:rPr>
        <w:rFonts w:cs="Arial"/>
        <w:sz w:val="16"/>
        <w:szCs w:val="20"/>
      </w:rPr>
      <w:t>27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