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Telford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Telford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Lifecare (BPA) Limited own and operate Telford Rest Home &amp; Hospital in New Plymouth. The facility can take up to 53 residents, 28 dual purpose beds and 24 registered hospital level beds. The facility is managed by a facility manager and clinical manager with support from a regional manager and central office structure. The residents and family members spoken with were positive about the care and communications with managers and staff.</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A strength of this organisation is their commitment to continuous improvement and seeking to improve the lifestyle of their residents. Two areas were identified during the audit as areas for improvement, these relate to the currency of Heritage Lifecare’s policies and procedures and the review of the residents long term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mission, vision and goals of Heritage Lifecare. A new ‘Heritage Way’ is being implemented into all processes around the services.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Telford Lifecare have their needs assessed by the multidisciplinary team on admission and within the required timeframes. Handovers at the beginning and end of each shift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Residents and families interviewed reported being well informed and involved in care planning and evaluation. They expressed satisfaction with the care provided at Telford Lifecare.</w:t>
      </w:r>
    </w:p>
    <w:p w:rsidRPr="00A4268A" w:rsidP="00621629">
      <w:pPr>
        <w:spacing w:before="240" w:line="276" w:lineRule="auto"/>
        <w:rPr>
          <w:rFonts w:eastAsia="Calibri"/>
        </w:rPr>
      </w:pPr>
      <w:r w:rsidRPr="00A4268A">
        <w:rPr>
          <w:rFonts w:eastAsia="Calibri"/>
        </w:rPr>
        <w:t xml:space="preserve">The planned activity programme is run by an activities co-ordinator.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no changes to the building have occurred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Heritage Lifecare policies and procedures that support the minimisation of restraint and promotes safe use of and consented enabler use. Two residents were using restraints and two residents were using enablers during the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at Telford Lifecare. Data is analysed,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Heritage complaints policy and associated form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have been received in 2020 and two to date, in 2021. A sample of four complaints over the past year were reviewed and showed that actions taken, through to resolution, are documented and completed within the timeframes. Action plans show any required follow up and improvements have been made where possible. The care home manager is responsible for complaints management and follow up. All staff interviewed confirmed a sound understanding of the complaint process and what actions are required. There has been one complaint received from the DHB in May 2020, which was responded to in a timely manner. Corrective actions were put in place and the DHB accepted and signed off in November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they were kept well informed about any changes to their relative’s status, were advised in a timely manner about any incidents or accidents and outcomes of regular and any urgent medical reviews. One incident and the 2019 resident and family survey indicated a communication issue being identified, with numbers being small. A corrective action process has been put in place with education for all staff. There has been no further issues raised and communication was evident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Heritage Lifecare organisational wide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the facility manager reported they had never needed to access this service, as the majority of residents speak English.  Staff reported one resident who has English as a second language and the patient has a good understanding of English if he is spoken to slowly. Staff are multicultural and spoke a range of languages, including Te Reo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mission, values goals and direction of the organisation. The documents described annual and longer term goals and the associated operational plans. The regional operations manager stated that reporting occurs weekly via zoom, monthly reports, example sighted and she undertakes regular site visits. These are used to report up to senior management and the CEO. The monthly reports to the regional operations showed extensive information being drawn from electronic systems to allow for monitor performance including, financial performance, clinical indicators,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has many years’ experience in the age care sector and has been in the role for almost three years. Responsibilities and accountabilities are defined in a job description and individual employment agreement.  The care home manager confirmed knowledge of the sector, regulatory and reporting requirements and maintains currency through attending sector specific workshops and receives newsletters as well as attending Heritage Lifecare manager conferences.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 with Taranaki DHB, including for respite care, and day care (one under DHB contract and one privately paying person) and Accident Compensation Corporation (ACC) for one long term resident.  Fifty two residents were receiving services under the contract; with 28 rest home residents and 24 hospital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The review last year has seen a new quality programme initiated this year and includes the management of incidents and complaints, audit calendar activities, a regular patient satisfaction survey, monitoring of outcomes, clinical incidents that include medication errors, falls, weight loss, challenging behaviour, restraint and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 meeting. Due to the electronic nature of reporting Heritage national quality team have ready access to monitor and review data and this was confirmed by the regional manager and sighted online.  Staff reported their involvement in quality and risk management activities through meetings and quality initiatives. Three quality improvement initiatives sighted, commenced in 2019, relate to improving the day to day living of residents. These are; Pamper Room, Distraction Equipment and Interaction with staff and residents. These have made a difference, however due to Covid and other issues in 2020 these have not been evaluated at the time of audit. Minutes show corrective actions being undertaken and there is a well-developed process to address issues identified. This was sighted related to a DHB compliant, satisfaction surveys and a coroner’s enquiry.  Resident and family satisfaction surveys are completed annually, however last year the electronic system failed to provide the reports and this years is being undertaken in a different format. The 2019 survey showed overall satisfaction with the service with the issue identified mentioned above.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develop and maintain all policies used within Telford. Review of a sample showed they cover all necessary aspects of the service and contractual requirements, appropriate referencing of relevant sources and include reference to the interRAI Long Term Care Facility (LTCF) assessment tool and process. Policies are currently under review and a number were seen as being overdue, this is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manager and facility manager were able to describe the Heritage Lifecare processes for the identification, monitoring, review and reporting of risks and development of mitigation strategies. They were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the electronic care system, which generates an email to senior staff for review and corrective actions. There is also a sentinel events form which is completed by senior staff. A sample of incidents reviewed showed these were fully completed, incidents were investigated, action plans developed and actions followed-up in a timely manner. Adverse event data is collated, including clinical indicators, analysed and reported via the electronic system to senior staff of Heritage Lifecare senior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described essential notification reporting requirements, including for pressure injuries. Two Section 31 reports were sighted for this year which included clear documentation and corrective actions taken recorded. One death is presently going through the coroner’s process. Investigation related to this death showed the identification of a number of areas for improvement including education of staff and evidence of this occurring was sighted. Monitoring of improvements is occurring by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human resources management policies and processes are based on good employment practice and relevant legislation. The recruitment process includes, visa checking, referee checks, police vetting and validation of qualifications and practising certificates (APCs), where required. A sample of seven staff records (two RN, kitchen assistant, four care givers) reviewed confirmed the organisation’s policies are being consistently implemented and records are maintained. All health professionals (RN, general practitioner, dietitian, podiatrist, physiotherapist and pharmacists) had a current APC.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annual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An annual education plan is in place which includes areas of mandatory training. This is reviewed each year to ensure areas identified from incidents or audits are included.  The clinical manager keeps a list of care staff who have completed or have commenced a New Zealand Qualification Authority education programme to meet the requirements of the provider’s agreement with the DHB. There were sufficient trained and competent registered nurses who are maintaining their annual competency requirements to undertake interRAI assessments. The number of interRAI competent nurses has risen in the last year from two, plus the clinical manager to five, plus the clinical manager.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Heritage Lifecare Allocation of Staff/duty roster sets out the principles of rostering based on NASC levels and contract requirements. The clinical manager spoke of the constant work to ensure staffing meets the skill mix to provide safe service delivery, 24 hours a day, seven days a week (24/7). There has been a moderate staff turnover in the last year and recruitment to all levels is underway.  Staff rosters show that shifts are being filled with staff working extra hours to assist in situations where staff were off sick.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adjusts staffing levels to meet the changing needs of residents. The care home and clinical managers are on call 24/7. Staff reporting that good access to advice is available when needed including the GP who is on call 24/7.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they were stretched at times and have developed strategies to manage the workload. Residents and family interviewed stated their needs were being met and raised no issues about staffing. Observations and review of two six-week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(RN)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At night, the second checker is not an RN, however, is someone who is deemed competent to check medications.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Appropriate processes are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Telford.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on 15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and due to expire 30 October 2021. The verification audit of the food control plan by the New Plymouth District Council on 29 September 2020, identified one area of corrective action around training. This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There are two dining rooms at Telford.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that referred to in criterion 1.3.3.3, documentation, observations, and interviews verified the provision of care provided to residents was consistent with their needs, goals, and the plan of care. A review on site of a recent complaint from the Taranaki District Health Board (TDHB), found the investigation questioned the timeliness of an admission to the TDHB, in addition to post fall assessments. The CSM had implemented a comprehensive action plan to address the findings. A review of two recent incidents onsite, found the post fall assessments and documentation had now been carried out as per the processes requested because of the investigation. Neither of these incidents required admission to the TDHB. Observations and interviews verified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handover information rather than in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Telford is provided by an activities co-ordinator,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 sessions, Alpaca visits, pizza day, word games, baking, Thai Chi, visiting entertainers, quiz sessions, theme days, visits from the schools, a recent visit to a musical show and daily news updates. The activities programme is discussed at the bi-monthly residents’ meetings and minutes evidence residents’ input is sought. Residents and family members of residents, when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Except for those files referred to in criterion 1.3.3.3, formal care plan evaluations occur every six months in conjunction with the six-monthly interRAI reassessment or as residents’ needs change. Evaluations are documented by the RN. Where progress is different from expected, the service responds by initiating changes to the care provided.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Evidence is sighted of effectiveness in management strategies around wound management, with a number of wounds healing quickly.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29 July 2021) was publicly displayed. This covered the building and emergency egress. The care home manager stated there has been no changes to the buildings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Telford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quality/staff meetings and at staff handovers. Surveillance data is entered in the organisation’s electronic infection database. Tables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Telford has processes in place to manage the risks imposed by Covid-19. A Covid-19 management plan has been implemented by the quality team at the organisations support office, and training resources are provided on an ongoing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Covid-19 vaccination rollout at Telford has not commenced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clinical manager supports a restraint coordinator to provide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two residents were using enablers and two resident had a restraint in use, which were the least restrictive and used voluntarily at their request. Each resident who had agreed to the use of an enabler had an enabler assessment form and consent signed by the next of kin. These were seen as being used appropriately in the residents files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0"/>
        <w:gridCol w:w="1280"/>
        <w:gridCol w:w="7040"/>
        <w:gridCol w:w="1859"/>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policies reviewed identified that they were over the three year review date. The head of quality and clinical, stated the Clinical Advisory Group had identified the need for policy review of the large number of policies operated by Heritage Lifecare and are presently undertaking a review of these and related documents. They are prioritising the work with key areas being looked at first such as medication management and falls risk. The number, being out of date is constantly changing as the review process is completed by the document owner and agreed. It was estimated that between 35 and 40 percent were not current in the quality area and others were out of date in finance and property.  Examples sighted as being out of date were interpreter and language and privacy.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policies are Heritage wide and reviewed and updating centrally. There are a number of policies which were identified as being over their review date. Plans are in place to prioritise and review policies.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 the action plan to ensure staff have access to current best practice and legislation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the seven care plans reviewed had not been updated in the last six months or as the residents needs change. This was only regarding documentation, as progress notes, observations, and interviews evidence the care being provided is as per the residents identified needs. Prior to audit, the clinical service manager (CSM) has identified this has occurred, and attributes this to being due to a high number of RNs over the last eight months leaving to go to work at Taranaki District Health Board. A corrective action plan is in place and being attended to. For this reason, the corrective action is rated as a low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the seven care plans reviewed have not been updated in the last six months or as residents needs change.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up updated as residents needs change and are reviewed at least every six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Telford Rest Home &amp; Hospital</w:t>
    </w:r>
    <w:bookmarkEnd w:id="58"/>
    <w:r>
      <w:rPr>
        <w:rFonts w:cs="Arial"/>
        <w:sz w:val="16"/>
        <w:szCs w:val="20"/>
      </w:rPr>
      <w:tab/>
      <w:t xml:space="preserve">Date of Audit: </w:t>
    </w:r>
    <w:bookmarkStart w:id="59" w:name="AuditStartDate1"/>
    <w:r>
      <w:rPr>
        <w:rFonts w:cs="Arial"/>
        <w:sz w:val="16"/>
        <w:szCs w:val="20"/>
      </w:rPr>
      <w:t>11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