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June 2021</w:t>
      </w:r>
      <w:bookmarkEnd w:id="7"/>
      <w:r w:rsidRPr="009418D4">
        <w:rPr>
          <w:rFonts w:cs="Arial"/>
        </w:rPr>
        <w:tab/>
        <w:t xml:space="preserve">End date: </w:t>
      </w:r>
      <w:bookmarkStart w:id="8" w:name="AuditEndDate"/>
      <w:r w:rsidR="00A4268A">
        <w:rPr>
          <w:rFonts w:cs="Arial"/>
        </w:rPr>
        <w:t>17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Palms Lifecare provides rest home and hospital level of care for up to 118 residents. The service is operated by Heritage Lifecare Limited (HLL) and is managed by an interim care home and village manager. An assistant care home manager and a clinical services manager are responsible for the clinical management of residents.</w:t>
      </w:r>
    </w:p>
    <w:p w:rsidRPr="00A4268A">
      <w:pPr>
        <w:spacing w:before="240" w:line="276" w:lineRule="auto"/>
        <w:rPr>
          <w:rFonts w:eastAsia="Calibri"/>
        </w:rPr>
      </w:pPr>
      <w:r w:rsidRPr="00A4268A">
        <w:rPr>
          <w:rFonts w:eastAsia="Calibri"/>
        </w:rPr>
        <w:t>Authorisation was gained from HealthCERT since the previous audit to reduce one rest home level care resident’s room, to turn this into an office which was verified and is now utilised by HLL management.</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mangers, staff and a general practitioner.</w:t>
      </w:r>
    </w:p>
    <w:p w:rsidRPr="00A4268A">
      <w:pPr>
        <w:spacing w:before="240" w:line="276" w:lineRule="auto"/>
        <w:rPr>
          <w:rFonts w:eastAsia="Calibri"/>
        </w:rPr>
      </w:pPr>
      <w:r w:rsidRPr="00A4268A">
        <w:rPr>
          <w:rFonts w:eastAsia="Calibri"/>
        </w:rPr>
        <w:t>The audit resulted in two areas identified as requiring improvement in quality and risk management systems specific to documentation control and timeliness of review of policies and procedures.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plans include the scope, direction, goals, values ad mission statement of the organisation. Monitoring of the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any trends are identified and actions lead to improvements. Feedback is sought from staff, residents and families. Adverse events are documented with corrective actions implemented. Actual and potential risks, including health and safety risks, are identified and mitigated. Policies and procedures support service delivery as needed.</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is not accessible to the public or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provided shading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response to call bells. Security is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minimisation of restraint. Five enablers were in use at the time of the audit and three restraints. Use of enablers is voluntary for the safety of residents in response to individual requests. The restraint team meets six monthly to review the use of both enablers and restraints. Policy identified that assessment, approval and monitoring processes meet the restraint standard requirements.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5"/>
        <w:gridCol w:w="1280"/>
        <w:gridCol w:w="93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general consent forms. Advance care planning, establishing and documenting enduring power of attorney requirements and processes for residents unable to consent is defined and documented, as relevant, in the resident’s record.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Staff provided examples of the involvement of Advocacy Services in relation to staff training and resident information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Complaints forms are available at the entrance to the hospital and to the rest home. Complaints and compliments can also be placed in a locked complaints box at reception.</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13 complaints had been received over the past year and that actions were taken through to an agreed resolution, were documented and completed within the required timeframes. One complaint which was closed out has been reopened and is being readdressed. Any quality improvements have been made where possible. The interim care home and village manager and the clinical services manager are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arranging their own visits to the doctor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day-to-day practice, as is the importance of whanau. There is a current Māori health plan developed with input from cultural advisers. Guidance on tikanga best practice is available and is supported by staff who identify as Māori in the facility. Māori residents and their whānau interviewed reported that staff acknowledges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District Health Board (DHB), although reported this was rarely required because most residents can speak English and staff and family members are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quality and business plans, which are reviewed annually, outline the purpose, values, scope direction and goals of the organisation. Specific goals for this facility are also documented for 2021 and 2022. Five goals are set and are reviewed regularly for progress and achievement. A sample of monthly and quarterly reports to manager’s support office includes the monitoring of performance outcomes, including quality data, staffing, complaints, quality improvements made, any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interim care home and village manager (ICH &amp; VM), an assistant care home manager (ACHM) who was previously in the CSM role and the clinical services manager (CSM). The ICH &amp; VM has been in the role for eight weeks. At the time of the audit, the role was extended out for another three months. Responsibilities and accountabilities are defined in job descriptions and individual employment agreements reviewed. All of the management team confirmed their knowledge of the aged care sector and maintain currency through regular ongoing clinical and management education related to their individual roles. This was confirmed in education documentation sighted.</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hospital, respite, long term support chronic health conditions (LTSCHC) and primary options for acute care (POAC) and residents on accident compensation corporation (ACC) contracts. There were 108 residents on the day of audit; 40 rest home and 68 hospital level care residents including one LTSCHC under 65 years, one ACC and one person receiving respite care (all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ICH &amp; VM is absent, the ACHM can carry out all the required duties under delegated authority. During absences of key clinical staff, the CSM who is experienced in the sector can take responsibility for any clinical issues that may arise. Staff reported the current arrangements work effectively. Two unit coordinators (UCs) are also available if needed to cover clinical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accidents, complaints, audit activities, a regular resident satisfaction survey (2021 - which had been completed but not analysed at the time of this audit), monitoring of outcomes, clinical incidents including any infections, falls, skin tears, wounds, challenging behaviour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confirmed regular review and analysis of quality indicators and that related information is reported and discussed at the monthly management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audit activities. Relevant corrective actions are developed and implemented to address any shortfalls. Resident and family members interviewed expressed positive views on the staff and services provided. The ICH &amp; VM stated that any concerns raised by residents or family/whanau are followed up using the corrective action process.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delivery and contractual requirements; however, they have not been reviewed in a timely manner. The document control system to manage the policies and procedures from support office is being addressed. However, if policies are outdated this is not appropriate for staff orientating to new roles of employment. Any obsolete documents are removed from the system and stored appropriately and can be retrieved if needed.</w:t>
            </w:r>
          </w:p>
          <w:p w:rsidR="00EB7645" w:rsidRPr="00BE00C7" w:rsidP="00BE00C7">
            <w:pPr>
              <w:pStyle w:val="OutcomeDescription"/>
              <w:spacing w:before="120" w:after="120"/>
              <w:rPr>
                <w:rFonts w:cs="Arial"/>
                <w:b w:val="0"/>
                <w:lang w:eastAsia="en-NZ"/>
              </w:rPr>
            </w:pPr>
            <w:r w:rsidRPr="00BE00C7">
              <w:rPr>
                <w:rFonts w:cs="Arial"/>
                <w:b w:val="0"/>
                <w:lang w:eastAsia="en-NZ"/>
              </w:rPr>
              <w:t>The ICM &amp; VM described the processes for the identification, monitoring and reporting of any risks and development of mitigation strategies. The management team are fully informed and familiar with the Health and Safety at Work Act (2015) and the requirements have been implemented. The service has a health and safety team who actively maintain and review all known and newly identified hazards and risks. The maintenance manager interviewed is very involved in health and safety and civil defence processes for the service and ensures the hazard registers are maintained and are current for each area of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documented adverse and near miss events on the electronic system in place and this generates an incident form. Each resident has their own incident register. The CSM is alerted if this occurs on any shifts. Incidents sampled were investigated, action plans developed, and actions followed up in a timely manner. Adverse event data is collated, analysed and reported in the monthly reports by the clinical manager and reports are sent to the ICH &amp; VM and to the CSM for review. A monthly report is collated of the whole site.</w:t>
            </w:r>
          </w:p>
          <w:p w:rsidR="00EB7645" w:rsidRPr="00BE00C7" w:rsidP="00BE00C7">
            <w:pPr>
              <w:pStyle w:val="OutcomeDescription"/>
              <w:spacing w:before="120" w:after="120"/>
              <w:rPr>
                <w:rFonts w:cs="Arial"/>
                <w:b w:val="0"/>
                <w:lang w:eastAsia="en-NZ"/>
              </w:rPr>
            </w:pPr>
            <w:r w:rsidRPr="00BE00C7">
              <w:rPr>
                <w:rFonts w:cs="Arial"/>
                <w:b w:val="0"/>
                <w:lang w:eastAsia="en-NZ"/>
              </w:rPr>
              <w:t>The ICH &amp; VM and the CSM described essential notification reporting. They advised that there have been nine section 31 notices completed and sent to HealthCERT since the previous audit. There have been no police investigations, coroner’s requests, issues-based audits and any other notifications, such as infection outbreaks, during this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procedures and processes are based on good employment practice and required legislation. The recruitment process includes police vetting checks, referee checks and validation of qualifications and annual practising certificates (APCs) for all health professionals employed and/or contracted to the service.  A sample of staff records reviewed confirmed the organisation’s policies are being consistently implemented and records are maintained. The service is actively recruiting registered nurses, and this is ongoing.</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 quality improvement initiative was generated in regard to the orientation provided and a checklist was developed and implemented.  In addition to this the length of time for orientation was increased. Any bureau staff who work at this facility receive specific orientation provided by the registered nurses. A checklist is completed to verify this orientation has occurred. Outcomes have included less complaints from other staff and work logs are being completed more efficiently. Any issues are discussed at the six week review for all new staff. Staff appraisals are undertaken annually, and records are maintained electronically and were in the individual staff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Heritage education plan for 2021 was reviewed. Continuing education is planned on an annual basis, including all mandatory training requirements. Care staff have either completed or commenced a New Zealand Qualification Authority (NZQA) education programme to meet the requirements of the provider’s agreement with the DHB. There are 53 healthcare assistants and 17 have completed a relevant level four qualification on the NZQA framework, 16 level three, eight level two and 12 are either enrolled and/or have not yet enrolled into the training. Two of the three activities staff have completed level 4 diversional therapy training. Sixteen of 18 registered nurses are interRAI competent to complete the required interRAI assessments on admission and six monthly thereafter. Registered nurses can attend elective study days and training as well as being involved in the Heritage training for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Observations of six weeks of staff rosters identifies that the facility adjusts staffing levels to meet the changing needs of residents. Staff are replaced in any unplanned absence. An afterhours on call roster is in place with staff interviewed reporting that good advice is available when needed. The clinical services manager, unit co-ordinators and assistant care home manager have a week about system in place. The service does use bureau staff as needed. Care staff reported there were adequate staff available and team work is more evident. Family and residents interviewed supported this. All registered nurses have complete first aid training and a list of staff is maintained with these additional skills.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members of residents who had been transferred,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Medication competency is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not being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12 residents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The Ministry of Health was notified in December 2020 about a medication error and corrective actions raised were actioned.</w:t>
            </w:r>
          </w:p>
          <w:p w:rsidR="00EB7645" w:rsidRPr="00BE00C7" w:rsidP="00BE00C7">
            <w:pPr>
              <w:pStyle w:val="OutcomeDescription"/>
              <w:spacing w:before="120" w:after="120"/>
              <w:rPr>
                <w:rFonts w:cs="Arial"/>
                <w:b w:val="0"/>
                <w:lang w:eastAsia="en-NZ"/>
              </w:rPr>
            </w:pPr>
            <w:r w:rsidRPr="00BE00C7">
              <w:rPr>
                <w:rFonts w:cs="Arial"/>
                <w:b w:val="0"/>
                <w:lang w:eastAsia="en-NZ"/>
              </w:rPr>
              <w:t>A medication audit was completed in March 2021 as per the audit schedule. No vaccines were stored onsite.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team of four cooks and five kitchen hands and was in line with recognised nutritional guidelines for older people. The menu follows summer and winter patterns and has been reviewed by a qualified dietitian in May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City Council which expires on 30/12/2021. Food temperatures, including for high-risk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 meal satisfaction survey was completed in March 2021.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are assessed to develop an initial care plan. Within three weeks of admission, a comprehensive assessment is completed using nursing assessment tools, such as a pain scale, acuity level, falls risk, mobility, skin integrity, dietary profile, nutritional and interRAI, as a means to identify any deficits and to inform long term care planning. The sample of care plans reviewed had an integrated range of resident-related information. All residents have current interRAI assessments completed by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has evidence of wound management, such as wound care plans and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holding the national Certificate in Diversional Therapy, and two activities coordinators.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and satisfaction surveys. Residents interviewed confirmed they were satisfied with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residents with infections, wounds, and those with a falls risk.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contracted GP, residents may choose to use another medical practitioner. If the need for other non-urgent services are indicated or requested, the GP or RN sends a referral to seek specialist input. Copies of referrals were sighted in residents’ files, including to a wound nurse, dietitian, the hand clinic, gastroscopy, and general surgery.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substances. Appropriate signage is clearly displayed where necessary. The maintenance manager and staff who handle chemicals have completed relevant education related to safe chemical handling. Certificates were sighted in the personal records reviewed. Material data sheets were available where chemicals are stored and staff interviewed knew what to do should there be a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separate buildings and each had their own building warrant of fitness (BWOF) displayed.  The rest home BWOF expires 31 May 2022 and the hospital 28 September 2021. Equipment electrical checks were completed on the 26 – 28 May 2021, a full environmental check was completed 14 June 2021 and the bio-medical equipment checks and calibration was completed 3 June 2021 and the verification report was sighted. Testing of hot water temperatures are performed across all services three monthly and random rooms are selected monthly. The maintenance manager is fully informed of reporting any variances to management and this would be actioned immediately.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residents’ rooms have a hand basin. All wings have a large bathroom with a shower and toilet for every four to five residents. There are also separate shower and separate toilets available. Appropriately secured and approved handrails are provided in the toilet and 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At the time of the audit, all bedrooms are single occupancy. There are no shared rooms. Each room has a double wardrobe. Rooms are personalised with furnishings, photographs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A new initiative was for the maintenance manager to build a new shed for the total mobility scooters when not in use and/or recharging batteries. This area is well used. In addition to this, an area off the hospital laundry was closed in, so that when residents’ chairs are cleaned they can stay dry and under cover for as long as needed prior to placing back into the lounges or the resident’s individual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three lounges in the hospital care setting and one in the rest home. In addition to this, there are small lounges in both facilities. The hospital is on two levels with a lounge and dining area on each floor. The rest home is on one level only and has one large lounge and two smaller lounges that residents can access for privacy if required. Lounge and dining facilities have appropriate seating for frail and older persons. There are large areas for external activities and/or to walk in the gardens provided. Table and chairs and shade are provided as needed with use of umbrellas in the summer months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designated laundry spaces, one in the rest home and one in the hospital. Three staff are employed to cover the laundry service which operates seven days a week. The laundry person interviewed works in both sites. The environment was clean and organised with clean/dirty designated areas. Chemicals are locked in each service area with signage being available. Training is provided to all staff by product representatives from the contracted services and an eco-system is in place for the washing machines. All linen and clothes are put away daily. All residents at the time of audit reported the laundry is well managed and their clothes are returned in a timely manner. The cleaners are rostered, one in each area (two rostered on if needed) daily, and they had a good understanding of their role and infection prevention and control processes. Store areas are provided for the cleaning trollies in the locked sluice rooms when not in use. Personal protective equipment is readily available and staff were observed wearing this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responses are displayed and known to staff. Disaster and civil defence planning guides provide directions for disasters and described the procedures to be followed in the event of a fire or other emergency. The Ministry of Civil Defence and Emergency Management recommendations for the region are met in relation to appropriate stocks of water and food. Approximately 4000 litres of water is stored in two tanks near the hospital, plus ten, ten litre containers of drinking water that is replaced annually. Emergency lighting is tested regularly. The service has an arrangement to hire a generator if needed as a resource for any power outage. There are adequate supplies of blankets, mobile phones, food and first aid supplies to meet the requirements of 108 residents.</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26 May 2007 and no changes have been made to the building footprint since then.</w:t>
            </w:r>
          </w:p>
          <w:p w:rsidR="00EB7645" w:rsidRPr="00BE00C7" w:rsidP="00BE00C7">
            <w:pPr>
              <w:pStyle w:val="OutcomeDescription"/>
              <w:spacing w:before="120" w:after="120"/>
              <w:rPr>
                <w:rFonts w:cs="Arial"/>
                <w:b w:val="0"/>
                <w:lang w:eastAsia="en-NZ"/>
              </w:rPr>
            </w:pPr>
            <w:r w:rsidRPr="00BE00C7">
              <w:rPr>
                <w:rFonts w:cs="Arial"/>
                <w:b w:val="0"/>
                <w:lang w:eastAsia="en-NZ"/>
              </w:rPr>
              <w:t>A trial evacuation takes place six monthly with a copy sent to the New Zealand Fire Service, the most recent being held 11 January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maintenance manager completes call bell audits and sends a report to the ICH &amp; VM. A new system has been installed since the previous audit. Residents and staff reported that staff respond promptly to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Under floor heating is supplied from diesel fired boilers, which are checked daily, in each facility. Quotes are being undertaken presently to change from diesel to electric supplies as a positive initiative for the environment. The lounge/dining areas in the rest home has a ceiling heat pump in place. Only one resident’s room in the rest home has a wooden floor and this room has an electric heater in place. A heat pump is situated in the education/board room. Rooms have natural light and opening external windows.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clinical services manager and tabled at the IPC committee meeting. This committee includes the care home manager, IPC coordinator,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the Covid-19 pandemic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She has attended relevant study days on infection prevention and control,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A scabies outbreak was reported in January 2020. It was reported to the Ministry of Health in a timely manner. The summary of the report identified areas for improvement and three corrective actions were raised. Documents reviewed and staff interviews verified that the corrective actions were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Most infection control policies were last reviewed in 2020 and included appropriate referencing. The management of scabies procedure is in draft format and the outbreak management procedure has not been reviewed in last two years (refer Criterion 1.2.3.4).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had been provided in response. Hand washing and donning and doffing of personal protective equipment trainings have been completed as a part of the recent pandemic preparedness.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eye, wound,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for the current year and comparisons against previous years are reported to the IPC committee. Data is benchmarked externally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scabies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is a unit coordinator and has been in this role for six months. The coordinator provides support and oversight for enabler and restraint management in the facility and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three restraints were in use and five enablers. Enablers were the least restrictive and used voluntarily at the residents’ request. All residents using enablers had signed consents stating they were voluntary. Enabler use was identified on residents’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stated that restraint is used as a last resort when all alternatives have been explored. This was evident on review of the restraint approval group minutes, residents’ records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consist of the general practitioner (GP), family member, restraint coordinator and an RN and they are responsible for the approval of the use of restraints and the restraint process. It was evident from review of restraint approval group meetings, residents’ records and interviews with the coordinator that there are clear lines of accountability and that all restraints have been approved and the overall use of restraints is being monitored and analysed. The unit coordinator commented that the numbers of both restraints and enablers has decreased since the previous audit. Use of a restraint or an enabler is part of the interRAI assessment and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 The restraint coordinator described the documented process. Families confirmed their involvement. The GP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The restraint coordinator described how the alternatives to restraints are discussed with staff and family members. When restraints are in use, frequent monitoring occurs to ensure the resident remains safe. Records of monitoring had the necessary details. Access to advocacy is provided if requested and all processes ensure dignity and privacy are maintained and respected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demonstrated that the use of restraints are reviewed and evaluated during interRAI reviews and care plans are updated six monthly. Restraint evaluations are discussed at the restraint approval group meetings also held six monthly. Families interviewed confirmed their involvement in the evaluation process and their satisfaction with the restraint process. The evaluation covers all requirements of the Standard, including future options to eliminate the use of restraint, the impact and any outcomes achieved, if the policy and procedure was followed and that documentation was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six monthly review of all restraint use which includes all the requirements of the Standard. Six monthly restraint meetings and reports are completed and individual use of restraint use is reported to the quality and staff meetings. Minutes of meetings were reviewed and confirmed that this includes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doctor, staff and families.</w:t>
            </w:r>
          </w:p>
          <w:p w:rsidR="00EB7645" w:rsidRPr="00BE00C7" w:rsidP="00BE00C7">
            <w:pPr>
              <w:pStyle w:val="OutcomeDescription"/>
              <w:spacing w:before="120" w:after="120"/>
              <w:rPr>
                <w:rFonts w:cs="Arial"/>
                <w:b w:val="0"/>
                <w:lang w:eastAsia="en-NZ"/>
              </w:rPr>
            </w:pPr>
            <w:r w:rsidRPr="00BE00C7">
              <w:rPr>
                <w:rFonts w:cs="Arial"/>
                <w:b w:val="0"/>
                <w:lang w:eastAsia="en-NZ"/>
              </w:rPr>
              <w:t>A six monthly internal audit that is carried out also informs these meetings. Any changes to policies, procedures, guidelines and processes are implemented if indicated. Data reviewed, minutes of meetings held and interviews with the restraint coordinator confirmed that the use of restraint has reduced since the last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1"/>
        <w:gridCol w:w="1280"/>
        <w:gridCol w:w="4657"/>
        <w:gridCol w:w="3025"/>
        <w:gridCol w:w="18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 control system is managed from the organisation’s compliance and risk team at support office. The documentation audit performed prior to the audit and the documents reviewed onsite at audit reflected policies and procedures as being out of date. Policies and procedures guide staff and staff interviewed commented on this issue as part of the orientation process. </w:t>
            </w:r>
          </w:p>
          <w:p w:rsidR="00EB7645" w:rsidRPr="00BE00C7" w:rsidP="00BE00C7">
            <w:pPr>
              <w:pStyle w:val="OutcomeDescription"/>
              <w:spacing w:before="120" w:after="120"/>
              <w:rPr>
                <w:rFonts w:cs="Arial"/>
                <w:b w:val="0"/>
                <w:lang w:eastAsia="en-NZ"/>
              </w:rPr>
            </w:pPr>
            <w:r w:rsidRPr="00BE00C7">
              <w:rPr>
                <w:rFonts w:cs="Arial"/>
                <w:b w:val="0"/>
                <w:lang w:eastAsia="en-NZ"/>
              </w:rPr>
              <w:t>Obsolete documents are stored for the required timeframe (1.2.3.3) and then are be destroyed appropriately as per the policy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reviewed had not all been reviewed in the timeframes required in line with the document control system in place. Newly employed staff are not able to access current documents when needed to guide them in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document control system is managed effectively to ensure policies and procedures are reviewed, approved, up to date and available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Palms Lifecare</w:t>
    </w:r>
    <w:bookmarkEnd w:id="58"/>
    <w:r>
      <w:rPr>
        <w:rFonts w:cs="Arial"/>
        <w:sz w:val="16"/>
        <w:szCs w:val="20"/>
      </w:rPr>
      <w:tab/>
      <w:t xml:space="preserve">Date of Audit: </w:t>
    </w:r>
    <w:bookmarkStart w:id="59" w:name="AuditStartDate1"/>
    <w:r>
      <w:rPr>
        <w:rFonts w:cs="Arial"/>
        <w:sz w:val="16"/>
        <w:szCs w:val="20"/>
      </w:rPr>
      <w:t>16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