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Whare Hononga Limited Partnership - Monte Vista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Whare Hononga Limited Partnership</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Monte Vista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May 2021</w:t>
      </w:r>
      <w:bookmarkEnd w:id="7"/>
      <w:r w:rsidRPr="009418D4">
        <w:rPr>
          <w:rFonts w:cs="Arial"/>
        </w:rPr>
        <w:tab/>
        <w:t xml:space="preserve">End date: </w:t>
      </w:r>
      <w:bookmarkStart w:id="8" w:name="AuditEndDate"/>
      <w:r w:rsidR="00A4268A">
        <w:rPr>
          <w:rFonts w:cs="Arial"/>
        </w:rPr>
        <w:t>26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is also certified for hospital-medical level care.  However, this appears to have been removed from their certificate following the provisional audit in 2019. The service has been verified as suitable to provide hospital-medical level care. Can this please be re-added to their current certified levels.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Monte Vista Residential Care is owned and governed by Ngati Tuwharetoa and provides rest home and hospital (geriatric and medical) level care for up to 41 residents.  On the day of the audit, there were 37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residents, management, staff, and the board chairperson. </w:t>
      </w:r>
    </w:p>
    <w:p w:rsidRPr="00A4268A">
      <w:pPr>
        <w:spacing w:before="240" w:line="276" w:lineRule="auto"/>
        <w:rPr>
          <w:rFonts w:eastAsia="Calibri"/>
        </w:rPr>
      </w:pPr>
      <w:r w:rsidRPr="00A4268A">
        <w:rPr>
          <w:rFonts w:eastAsia="Calibri"/>
        </w:rPr>
        <w:t xml:space="preserve">The facility manager is appropriately qualified and is supported by a clinical coordinator (registered nurse) who oversees the clinical services. The residents and relatives commented positively about the care and services provided at the service.  Key improvements have been the increased occupancy by Māori and the holistic care provided by managers and staff. </w:t>
      </w:r>
    </w:p>
    <w:p w:rsidRPr="00A4268A">
      <w:pPr>
        <w:spacing w:before="240" w:line="276" w:lineRule="auto"/>
        <w:rPr>
          <w:rFonts w:eastAsia="Calibri"/>
        </w:rPr>
      </w:pPr>
      <w:r w:rsidRPr="00A4268A">
        <w:rPr>
          <w:rFonts w:eastAsia="Calibri"/>
        </w:rPr>
        <w:t xml:space="preserve">There were no areas for improvement identified as part of this certification audit.   </w:t>
      </w:r>
    </w:p>
    <w:p w:rsidRPr="00A4268A">
      <w:pPr>
        <w:spacing w:before="240" w:line="276" w:lineRule="auto"/>
        <w:rPr>
          <w:rFonts w:eastAsia="Calibri"/>
        </w:rPr>
      </w:pPr>
      <w:r w:rsidRPr="00A4268A">
        <w:rPr>
          <w:rFonts w:eastAsia="Calibri"/>
        </w:rPr>
        <w:t xml:space="preserve">The service has exceeded the standard expected in three areas: communication with family particularly during Covid-19 pandemic, for food services, and for a restraint 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stated that their rights are upheld.  Systems protect their physical privacy and promote their independence.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Consents are documented by residents or family and there are advance directives documented if the resident is competent to complete these.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Monte Vista has strong leadership from the Board and from the facility manager who is supported by the clinical coordinator.  There is a quality and risk management system that is well implemented.  Key components of the quality management system include management of complaints, implementation of an internal audit schedule, annual satisfaction surveys, incidents and accidents, review of infections, and review of risk and monitoring of health and safety, including hazards.  Monthly quality data and benchmarking reports are discussed at facility meetings.  </w:t>
      </w:r>
    </w:p>
    <w:p w:rsidRPr="00A4268A">
      <w:pPr>
        <w:spacing w:before="240" w:line="276" w:lineRule="auto"/>
        <w:rPr>
          <w:rFonts w:eastAsia="Calibri"/>
        </w:rPr>
      </w:pPr>
      <w:r w:rsidRPr="00A4268A">
        <w:rPr>
          <w:rFonts w:eastAsia="Calibri"/>
        </w:rPr>
        <w:t xml:space="preserve">Human resource policies are in place, including a documented rationale for determining staffing levels and skill mixes.  A roster provides sufficient and appropriate staff coverage for the effective delivery of rest home and hospital level of care.  The education programme includes mandatory training requirements, competencies, and external training opportunities.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are reviewed at least six-monthly.  Resident files include medical notes by the contracted general practitioners (GPs),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social links and have meaningful input into their community.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Food services and meals are prepared on site.  There has been a dietitian review of the menu and there is a current food control plan.  All kitchen staff have been trained in food safety and hygiene.  A contracted dietitian reviews the organisation’s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Cleaning and laundry services are monitored through the internal auditing system.  </w:t>
      </w:r>
    </w:p>
    <w:p w:rsidRPr="00A4268A">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and monitoring of an approved enabler or restraint if this were to be used.  A registered nurse is the restraint coordinator.  Staff interviewed were knowledgeable about restraint minimisation and competencies are completed annually.  There is no restraint used in the service and one enabler in place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(clinical coordinator) is responsible for coordinating education and training for staff.  The infection control coordinator (ICC) has completed annual training provided by the local DHB.  </w:t>
      </w:r>
    </w:p>
    <w:p w:rsidRPr="00A4268A">
      <w:pPr>
        <w:spacing w:before="240" w:line="276" w:lineRule="auto"/>
        <w:rPr>
          <w:rFonts w:eastAsia="Calibri"/>
        </w:rPr>
      </w:pPr>
      <w:r w:rsidRPr="00A4268A">
        <w:rPr>
          <w:rFonts w:eastAsia="Calibri"/>
        </w:rPr>
        <w:t>There is a suite of infection control policies and guidelines available to support practice.  The ICC uses the information obtained through surveillance to determine infection control activities, resources and education needs within the facility.  There has been one outbreak in the previous year which was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4</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74"/>
        <w:gridCol w:w="1280"/>
        <w:gridCol w:w="9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 policy relating to the Code is implemented and managers and care staff interviewed, (Board chairperson, facility manager, clinical coordinator, three registered nurses (RN), four caregivers, maintenance, one laundry staff, kitchen manager, and one activity coordinator) could describe how the Code is incorporated into their everyday delivery of care for the rest home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rest home residents (six rest home including one resident using respite services and three hospital including one young person with a disability) and seven relatives interviewed (four rest home and three hospital), confirmed that information has been provided around the Code.  Residents stated their rights are respected when receiving services and care.  Staff have completed training around the Health and Disability Commissioner (HDC) Code of Health and Disability Services Consumers’ Rights (the Code)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seven resident files (three hospital, including one YPD and four rest home, including one YPD and one respite resident)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information is included in the information provided to new residents and their family/whānau during their entry to the service.  Brochures and contact numbers are available to residents and family.  Local chaplains are readily available as resident/relative advocates.  Field officers such as Parkinson’s and Alzheimer’s provide support for residents/family and staff.  Residents are invited to the Age Concern activities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were aware of the role of advocacy services and their right to access support.  The complaints process is linked to advocacy services.  Staff receive education on the role of advocacy services during their induction to the service and ongoing, as part of the annual education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their residents to maintain their relationships with friends and community groups.  Families are encouraged to visit at any time.  Residents may have visitors of their choice at any time.  Relatives interviewed stated they are made welcome whenever they visit.  Residents are encouraged to maintain community links such as attending church services and community events.  Community groups visit the home as part of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received a rating of continuous improvement for the way in which they communicated with residents and family during the Covid-19 pandemic and for the way in which family/whānau welcomed and supported to be with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(facility manager) leads the investigation of any concerns/complaints in consultation with the clinical coordinator for any clinical complaints.  Complaints forms and a complaints/suggestion box are visible at the main entrance to the facility.  There have been three complaints made for 2020 and two complaints to date for 2021.  All verbal and written complaints have been managed appropriately and within the required timeframes to the satisfaction of the complainant.  Residents and families interviewed are aware of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and the Health and Disability Advocacy Service are included in the resident information that is provided to new residents and their families.  The facility manager/registered nurse or clinical coordinator discusses aspects of the Code with residents and their family on admission.  Discussions relating to the Code and complaints process are included in the resident meetings.  Residents and relatives confirmed they receive sufficient verbal and written information to be able to make informed choices on matters that affect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available information on the Code at the main entrance to the facility.  The code of rights and advocacy brochures are displayed and there is a welcome information folder that includes information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tour of the facility it was evident that the residents’ privacy and dignity was maintained.  Caregivers were observed to knock on doors before entering resident bedrooms.  Care staff confirmed they promote the residents' independence by encouraging them to be as active as possible.  Residents and relatives interviewed during the audit confirmed that the residents’ privacy is respected.  Guidelines on abuse and neglect are documented in policy.  The residents’ personal belongings are used to decorate their rooms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Resident’s cultural, social, religious, and spiritual beliefs are identified on admission and included in the resident’s care plan/activity plan, to ensure the resident receives services that are acceptable to the resident/relatives.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There is a cultural safety and awareness policy and guidelines for understanding Māori cultures that aligns with the four cornerstones of Māori health.  The policy includes references to other Māori providers that are available such as the on-site cultural advisor (also the activity coordinator), kaumātua and local marae committee representatives, Māori minister and interpreter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25% of the occupancy as residents who identify as Māori.  This has risen from 3% to 5% since the ownership by Ngati Tuwharetoa.  The service provides access to Māori services and have a cultural advisor on staff, a kaumātua who provides cultural support, and daily karakia.  There are links to other Māori cultural services and support groups.  Māori residents have basic details of cultural needs identified in the long-term care plans.  Care staff interviewed were knowledgeable around the recognition of Māori culture and the support they could access as required.  Two Māori residents interviewed stated their cultural beliefs and values were being met and this was confirmed by two family members who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This is achieved in collaboration with the resident, whānau/family and/or their representative.  Beliefs and values are incorporated into the residents’ care plans in resident files reviewed.  Residents and family/whānau interviewed confirmed they were involved in developing the residents plan of care, which included the identification of individual values and beliefs.  There was documented evidence of the service acknowledging other cultures around values, beliefs, religion, and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Staff recognise and respond to values, beliefs, and cultural differences.  Residents are supported to attend church services of their choice and are supported to attend other cultural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also described in individual employment agreement and job descriptions.  Interviews with the staff confirmed their understanding of professional boundaries including the boundaries of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an employment agreement which includes a code of conduct and house rules.  Professional boundaries are defined in job descriptions and discussed with employees on employment to the service.  Caregivers and RNs could describe how they build a supportive relationship with each resident.  Residents interviewed stated they are treated fairly and with respect.  Relatives interviewed stated staff are kind and respectful towards them and their loved ones.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the quality-of-service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or hospital level care as identified through interviews with care staff and through an audit of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and family members stated that the service was ‘excellent’.  Both family and residents interviewed stated that the managers had an open-door policy.  Staff interviewed had a sound understanding of principles of aged care and stated that they are supported by the management team.  Caregivers complete training and competencies relevant to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chairperson described the move by the service to uphold the tikanga of Ngati Tuwharetoa.  They also described the positive feedback received from residents and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confirmed on interview that the staff and management are approachable and available.  Residents have the opportunity to feedback on service delivery through monthly resident meetings and the annual resident/relative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total 22 accident/incident forms reviewed from November 2020 to 2021 to date,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are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Monte Vista Residential Care is currently certified to provide rest home and hospital level for up to 41 residents.  The service is also certified for hospital-medical level care.  However, this appears to have been removed from their certificate following the provisional audit in 2019.  This audit verified them as suitable to provide hospital-medical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40 dual-purpose beds and one rest home bed.  On the day of audit there were 37 residents.  There were 23 rest home residents including one younger person with a physical disability and two using respite care, and 14 hospital level residents including two residents using respite services.  There were no residents under the primary options contract or under a medical contract.  One resident was under an ACC contract (hospital level care).  All other residents were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Monte Vista Residential Care is owned and governed by Ngati Tuwharetoa.  Nga Pou e Toru was confirmed by Ngati Tuwharetoa as the aspiration for the settlement of claims and is a paradigm that embodies the tikanga.  The three pou that encompass the kawa tikanga, Matauranga and values of Ngati Tuwharetoa.  The strategic plan was developed by the directors of Te Haeata who provide governance and oversight of the operations of Monte Vista.  A business plan 2021 to 2022 is documented with objectives, actions, and indicators to determine progress.  The business plan is reviewed at the board meeting.  The facility manager provides a monthly report to the board about operations with this discussed at the monthly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of Monte Vista Residential Care is a registered nurse (RN) who has extensive experience as a manager in the aged care sector.  The facility manager has been in the role for nine years with qualifications that include a postgraduate diploma in management, a postgraduate diploma in public health and 30 years’ experience in aged care.  The facility manager is supported by a clinical coordinator, who has been in the position since February 2021 with six years’ experience in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facility manager and clinical coordinator have completed at least eight hours of training in the last year relating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coordinator share the on-call component (alternate weeks) and cover for each other’s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Monte Vista Residential Care has a quality and risk management system implemented.  Policies are reviewed at least two yearly or as changes occur (e.g., with legislation, with policies available both in hard copy and online [intranet]).  Policies and procedures and associated implementation systems provide a good level of assurance that the facility is meeting accepted good practice and adhering to relevant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for the service was last completed in November 2020 with 56% respondents.  There was a high level of satisfaction from 87% of respondents.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established processes to collect, analyse and evaluate data, which is utilised for service improvements.  Results are communicated to staff across a variety of meetings and reflected actions being implemented and signed off when completed.  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to staff and to the board.  There are monthly accident/incident reports that break down the data collected across the different levels of care.  Health and safety internal audits are completed.  Improvements are made as a result of analysis and discussion of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schedules for training, meetings, and audit requirements for the year.  The meeting schedule includes monthly staff and quality (including infection control) meetings.  There are six-weekly to bi-monthly resident and family meetings.  Health and safety is a part of each meeting.  There is a monthly clinical meeting attended by the clinical manager and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service addresses health and safety by recording hazards and near misses, sharing of health and safety information and actively encourage staff input and feedback.  The service ensures that all new staff and any contractors are inducted to the health and safety programme with training completed by staff as part of orientation (staff records confirmed that these had been completed).  Falls prevention strategies are in place that include the analysis of falls incidents and the identification of interventions on a case-by-case basis to minimise future falls.  A health and safety representative was interviewed, and they could describe their role as per legislation and policy.  Staff were able to give examples of where improvements had been made after issues had been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a number of improvements in the service since the last audit.  They include improvements in occupancy for Māori, refurbishment of rooms, and a partnership between the board, managers,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Incidents are coded in severity. All resident incidents logged with a high severity are immediately escalated to the clinical manager and 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accident/incident forms were reviewed (one skin tear, two falls, ten unwitnessed falls, five absconding, two behaviour and two classified as other). Each event involving a resident reflected a clinical assessment and follow-up by a RN. All unwitnessed falls had consistent evidence of routine neurological observations over a 24-hour time frame.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are aware of their requirement to notify relevant authorities in relation to essential notifications. Section 31 notifications made since the last audit include consist of notification of a new clinical coordinator. Public health authorities were notified for one respiratory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Seven staff files reviewed (clinical coordinator, two RNs, two caregivers, activities coordinator, and kitchen manager) evidenced implementation of the recruitment process, employment contracts, completed orientation and annual performance appraisals.  Performance appraisals are completed three-monthly after employment and annually thereafter.  A register of practising certificates is maintained for qualified staff and allied health professionals involved 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is developed specifically to worker type (e.g.: RN, support staff) and includes documented competencies.  Caregivers interviewed were able to describe the orientation process and believed new staff were adequately orientated to the service.  Caregivers complete an orientation booklet within 90 days.  Of the 21 caregivers employed, there are five caregivers with NZQA level one, four with level two, three with level three and five with level four.  There are two caregivers completing level three and one completing level four training. </w:t>
            </w:r>
          </w:p>
          <w:p w:rsidR="00EB7645" w:rsidRPr="00BE00C7" w:rsidP="00BE00C7">
            <w:pPr>
              <w:pStyle w:val="OutcomeDescription"/>
              <w:spacing w:before="120" w:after="120"/>
              <w:rPr>
                <w:rFonts w:cs="Arial"/>
                <w:b w:val="0"/>
                <w:lang w:eastAsia="en-NZ"/>
              </w:rPr>
            </w:pPr>
            <w:r w:rsidRPr="00BE00C7">
              <w:rPr>
                <w:rFonts w:cs="Arial"/>
                <w:b w:val="0"/>
                <w:lang w:eastAsia="en-NZ"/>
              </w:rPr>
              <w:t>An annual education planner includes mandatory training and role specific training including clinical education and in-service for support services.  Core competencies are completed annually, and a record of completion is maintained (signed competency questionnaires sighted in reviewed files).  Competencies include fire safety, medication, manual handling, controlled drug checking, use of restraint and hand hygiene.  There are other training opportunities with external speakers and study days such as Hospice palliative care courses.  Staff have had extensive training around Covid-19 and in how to manage in the event of an outbreak.  All staff have received training around the use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employed.  Three RNs and the clinical coordinator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is also the cultural advisor for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levels meet contractual requirements.  The facility manager and clinical coordinator work full-time from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 on each shift seven days a week.  The RNs are supported by an adequate number of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four wings of dual-purpose beds: Tongariro – 13 beds (7 hospital residents and 4 rest home residents); Ngauruhoe – 10 beds (6 rest home and 3 hospital residents including one YPD); Ruapehu – 8 beds (7 rest home residents and 1 YPD hospital resident); Tauhara – nine beds (6 rest home including one YPD and 3 hospital residents).  All bedrooms are identified as dual purpose.  The rest home bedroom is now an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teams of caregivers (four caregivers on the morning shift including two on a full shift and, one from 7 am to 1.30 pm and one from 7 am to 2.30 pm; and four on the afternoon shift including two on a full shift, one from 3 pm to 9 pm and one from 4 pm to 8 pm).  The caregivers are paired on each shift with two for Tongariro and Ngauruhoe wings and two for Ruapehu and Tauhara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night shift there are two caregivers on the full shift.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advised that there are sufficient staff on duty at all times.  Interviews with residents and relatives confirmed that there are sufficient staff on duty.</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activity coordinator from 8 am to 4.30 pm.</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 for food services, housekeeping and laundry, maintenance, and administration.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electronic resident files appropriate to the service type.  Residents entering the service have all relevant initial information recorded within 48 hours of entry into the residents’ individual electronic record.  Resident clinical and allied health records are integrated.  Personal resident information is kept confidential and cannot be viewed by other residents or members of the public.  Resident files are protected from unauthorised access.  All entries in the progress notes are identifiable by date, time, writer, and designation.  In the event of a computer failure, data can be accessed from the other cloud.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facility manager and clinical coordinator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facility manager or clinical coordinator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clinical coordinator interviewed could describe the procedure for when a resident’s condition changes and the resident needs to be reassessed for a higher or different level of care.  Discussion with the clinical coordinator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self-medicating on the day of audit, who had been assessed as competent to self-administer by the RN and GP.  The resident’s room was visited and confirmation that the medications were stored securely obtained.  All legal requirements had been met.  There are no standing orders in use, and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administer medications, have up-to-date medication competencies and there has been medication education in the last year.  Registered nurses have syringe driver training completed by the hospice.  The medication fridge and room temperatures are checked daily and are within the acceptable range.  Eye drops viewed in the medication trolley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are cooked on site at Monte Vista.  The cooks and three kitchenhands have completed food handling through orientation and via external national programmes.  The summer and winter menus are reviewed two-yearly by an external consultant dietitian (March 2021).  Food is served directly from the kitchen to the adjacent dining room.  Kitchen fridge/freezer temperatures and food temperatures are monitored at least daily.  Food stored in the fridge and chillers is covered and dated.  </w:t>
            </w:r>
          </w:p>
          <w:p w:rsidR="00EB7645" w:rsidRPr="00BE00C7" w:rsidP="00BE00C7">
            <w:pPr>
              <w:pStyle w:val="OutcomeDescription"/>
              <w:spacing w:before="120" w:after="120"/>
              <w:rPr>
                <w:rFonts w:cs="Arial"/>
                <w:b w:val="0"/>
                <w:lang w:eastAsia="en-NZ"/>
              </w:rPr>
            </w:pPr>
            <w:r w:rsidRPr="00BE00C7">
              <w:rPr>
                <w:rFonts w:cs="Arial"/>
                <w:b w:val="0"/>
                <w:lang w:eastAsia="en-NZ"/>
              </w:rPr>
              <w:t>Dry goods are stored in dated sealed containers in the pantry and kept off the ground.  Chemicals are stored safely.  Cleaning schedules were sighted and maintained.  The service has a food plan registered with MPI (June 2018) and has verification in place.  Monte Vista has an organisational process whereby all residents have a nutritional profile completed on admission, a copy of which is provided to the cook who is also notified (daily where necessary) of any dietary changes, weight loss or other dietary requirements.  There are two choices for the midday meal.  Special diets such as diabetic desserts, vegetarian, pureed and alternative choices for dislikes are accommodated.  There are lists maintained within the kitchen of the resident’s key alerts regarding allergies or food dislikes/preference for staff reference.  Special equipment such as lipped plates and built-up spoons are available as required.  Residents/relatives spoken to stated that the food was excellent.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family/whanau member of choice.  The reasons for declining entry would be if the service is unable to provide the assessed level of care or there were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Initial interRAI assessments had been completed for all long-term residents’ files reviewed.  Ongoing interRAI reviews were evident for five of seven resident files sampled (excludes respite and a recent admission).</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(if required),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dietitian, wound care specialist and speech and language therapist.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Monitoring forms are in use as applicable, such as weight, vital signs, and wounds.  All monitoring requirements including neurological observations had been documented as required.  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wounds included two skin tears, and two classed as ‘other’.  Registered nurses could describe the process of referral for wound nurse specialist involvement in chronic wounds/pressure injuries should this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activities coordinator covering Monday to Friday, who plans and leads the activities in the home.  There are monthly planned themes and events which the activities coordinator then adds to in order to individualise activities to resident need and preferences.  A weekly activities calendar is distributed to residents, posted on noticeboards and is available in large print.  On the days of audit residents were observed participating in activities.  The activities coordinator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cultural festive days are celebrated.  There are visiting community groups such as local church groups, pet therapy and visiting schools, and the residents also visit groups outside the community such as the local community garden project.  The activities coordinator provides a range of activities which include (but are not limited to) exercises, swimming, crafts, games, quizzes, entertainers, gardening, and bingo.  The activities coordinator and management team have actively sought to integrate Monte Vista residents in to their local community through joint activities and fund-raising initiatives for local charities.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is involved in the admission process, completing the initial activities assessment ‘this is me’, and having input in to the cultural assessment.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such as pampering sessions according to their preferences.  YPD residents have individualised, age-appropriate activity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was a change in resident health status.  Evaluations are documented and identify progress to meeting goals.  A six monthly multi-disciplinary review is also completed by the registered nurse with input from caregivers, the GP, the activities coordinator, resident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Monte Vista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registered nurse interviewed could describe examples of where a resident’s condition had changed, and the resident care plan had been changed to reflect updated interventions accordingly.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May 2022.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March 2023.  The hoist and scales are checked annually and are next due to be checked April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decked areas are well maintained.  All external areas have attractive features, including views of Lake Taupo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occupancy, and each have a hand basin.  Four of the bedrooms have an ensuite with toilet, shower, and basin.  There are adequate numbers of communal toilets located near the communal areas.  Communal toilet/shower facilities have a system that indicates if it is engaged or vacant.  Regular audits of the environment are completed as per the quality programme.  Liquid soap and paper towels are available in all toilets. 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curtains are in shower rooms.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and spacious enough to safely manoeuvre mobility aids and transferring equipment such as hoists in the resident bedrooms.  The doors are wide enough for ambulance trolley access.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personalise their bedrooms with personal belongings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within the facility including a large main lounge and adjacent dining room.  Activities occur in the main lounge which is large enough to cater for the activities on offer, is accessible and can accommodate the equipment required for the residents.  There are also private/quiet seating areas where residents who prefer quieter activities or visitors may sit.  The lounge and dining area are spacious, inviting, and appropriate for the needs of the residents.  Residents are able to move freely through and around these areas and furniture is placed to facilitate this.  Residents were seen to be moving freely both with and without assistance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is a defined clean and dirty flow, and a separate clean sorting room for folding and ironing of laundry.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3 litres per person, per day for more than 3 days for resident use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and there is security lighting externally.  The local community patrol checks external doors as part of a night routine.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with staff and residents interviewed, stating that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coordinator) is an RN who is responsible for infection control across the facility as detailed in the infection control coordinator job description (signed copy sighted on day of audit).  The coordinator oversees infection control for the facility, reviews incidents on the electronic resident management system and is responsible for the collation of monthly infection events and reports.  The facility management team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two outbreaks (respiratory and scabies) since the last audit.  The respiratory outbreak was post flu vaccine and during Covid lockdown.  All affected residents were swabbed for Covid-19, isolated and cared for using appropriate PPE until a negative result was obtained.  Public health were involved, and both outbreaks were managed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skype and in writing.  During Covid lockdown the service implemented weekly staff briefings which allowed for updates, education, and discussion.  All visitors are required to provide contact tracing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Monte Vista.  The infection control coordinator liaises with the heads of departments who meet regularly and as required (more frequently during Covid lockdown).  Information is shared as part of staff meetings and also as part of the registered nurse meetings.  The infection control coordinator has completed annual training in infection control through the local DHB.</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an external specialist, microbiologist, GP, wound nurse and DHB when required.  The GP monitors the use of antibiotics.  Overall effectiveness of the programme is monitored by the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external consultant and then adapted to be facility specific by the clinical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education and ensuring staff attend the annual eight-hour mandatory education sessions which include an infection control dedicated section.  Training on infection control is also included in the orientation programme.  Staff have completed infection control study in the last 12 months.  The infection control coordinator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Monte Vista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registered nurse, staff, and head of department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to facilitate trend analysis.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around restraints and enablers.  A registered nurse is the restraint coordinator and has a job description outlining the responsibilities of the role.  The restraint coordinator has been in the role for 10 years.  The philosophy is to have a restraint free service.  There are no residents using restraint.  One resident has a bedrail as an enabler.  Voluntary consent was obtained for the resident using an enabler with clear documentation of risks of the device and rationale for the enabler in the care plan.  Staff complete hourly intentional rounding and the use of the enabler is checked at this time.  Staff receive training around restraint minimisation and challenging behaviours at least annually.  Care staff interviewed were knowledgeable around challenging behaviours and de-escalation strategies to minimise use of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692"/>
        <w:gridCol w:w="70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welcome family/whānau into the service.  The service also offered additional forms of communication to residents and family/whānau so that they could remain connected through lockdown.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strong sense of manaakitanga in the service.  Family described being welcomed at any time when they chose to be with family.  Māori residents and family/whānau interviewed confirmed that their cultural needs were met, and the extended whānau were encouraged to visit and engage in the activities offered.  On the day of audit, family members were observed being welcomed and being encouraged to participate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pandemic and particularly during levels of lockdown, residents were provided each day with timeslots where they were supported by a dedicated staff member to skype with family.  A Facebook page for the service was set up and family/residents informed that this was the source of information.  Information was updated in real time.  The activities coordinator also posted videos of residents engaging in activities.  Residents were supported to use tablets and to engage in conversations through that medium.  It was noted that a number of residents have continued to use these.  Communication was also made on a daily basis with family through emails and phone calls.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Facebook has continued to provide a forum to display activities and to communicate with family.  The residents now post activities through the activities coordinator who supports this including messages to loved ones.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notice of registration had achieved verification of the Food Control Plan with the expiry date 30 September 2021.  A further verification of the food control plan took place following the audit for certification.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previously verified had no corrective actions or opportunities for improvement identified.  The verification of the audit that occurred on the 26 May 2021 confirmed that the service did not have any corrective actions or opportunities for improvement.  The residents and relatives unanimously praised the food services for variety, quality, and the choice with other options offered if the resident asked for this.  Examples were given by staff around food services for residents losing weight including asking the resident what they wanted and providing this at the time.  An emphasis is placed on providing food to meet cultural preferences including for Māori.  The food satisfaction survey completed last in September 2020 showed that 96% of residents were satisfied with meal times, 91.3% were satisfied with portion size and temperature of served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and 2020 satisfaction surveys show high satisfaction relating to activities in the service.  The approach that is implemented relating to activities is a focus of ‘making a difference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The community programmes and events that have been implemented are supported and enjoyed by the residents, family, and the wider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held a gala in December 2020 and advertised in the local newspaper.  The public and the facility arranged stalls with items for sale for fundraising for the local hospice.  The residents from Monte Vista ran various stalls including a knit and knatter club stall where residents knit goods for sale, with the proceeds being donated to the charity of the resident’s choice (the local hospice for 2020).  Interviews with the residents who participate in the ‘knit and knatter’ club confirmed their enjoyment in being able to make items for the benefit of the local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also takes residents to visit and participate in local community groups including the local community garden project, kohanga and kindergarten.  Families and friends are able to view resident activities that have occurred in and out of the facility via the resident Facebook page set up by the activity’s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residential care facilities in the area participate with Monte Vista residents in competitions and activities, Covid lockdowns apart.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shows evidence beyond the expected full attainment.  The residents who wish to have an opportunity to contribute in a meaningful way to the wellbeing of the community are supported by the service and provided with opportunity. The 2019 and 2020 satisfaction surveys show high satisfaction relating to activities in the service.  The approach that is implemented relating to activities is a focus of ‘making a difference in the community’. The community programmes and events that have been implemented are supported and enjoyed by the residents, family, and the wider community. The activity programme evidenced the actions taken to make the programme meaningful to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voluntarily request and consent to enabler use.  The service has reduced the use of restraint to zero since August 2020 when there had been one resident using a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This has been through a combination of reassessing residents and looking at other strategies to manage behaviour and falls.  In the past, strategies to reduce or minimise the use of restraint have been minimal.  The restraint coordinator has reflected on practice of using a restraint for one in 2020 with a commitment to use other interventions to manage any challenges.  This includes hourly intentional rounding, use of a touch call bell when required, sensor mats, lo beds, air mattresses, regular toileting schemes, and implementation of strategies used to prevent skin injuries, continence, and urinary tract infections with discussion around safety and risk at each meeting (clinical and staff meetings).  There is a proactive review of any issues through the multi-disciplinary meetings and care planning.  Staff training is provided around restraint minimisation and management of challenging behaviours at least annually with the frequency of training increased to three times in 2020 (April, August, and December) and once in 2021.  All care staff and activities coordinator attend the training.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Whare Hononga Limited Partnership - Monte Vista Residential Care</w:t>
    </w:r>
    <w:bookmarkEnd w:id="58"/>
    <w:r>
      <w:rPr>
        <w:rFonts w:cs="Arial"/>
        <w:sz w:val="16"/>
        <w:szCs w:val="20"/>
      </w:rPr>
      <w:tab/>
      <w:t xml:space="preserve">Date of Audit: </w:t>
    </w:r>
    <w:bookmarkStart w:id="59" w:name="AuditStartDate1"/>
    <w:r>
      <w:rPr>
        <w:rFonts w:cs="Arial"/>
        <w:sz w:val="16"/>
        <w:szCs w:val="20"/>
      </w:rPr>
      <w:t>25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