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Villages of New Zealand (Pakuranga) Limited - Park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Villages of New Zealand (Pakuranga)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June 2021</w:t>
      </w:r>
      <w:bookmarkEnd w:id="7"/>
      <w:r w:rsidRPr="009418D4">
        <w:rPr>
          <w:rFonts w:cs="Arial"/>
        </w:rPr>
        <w:tab/>
        <w:t xml:space="preserve">End date: </w:t>
      </w:r>
      <w:bookmarkStart w:id="8" w:name="AuditEndDate"/>
      <w:r w:rsidR="00A4268A">
        <w:rPr>
          <w:rFonts w:cs="Arial"/>
        </w:rPr>
        <w:t>9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Park Rest Home provides rest home and hospital level care for up to 40 residents. The service is one of four facilities owned and operated by Real Living Group, which Villages of New Zealand (Pakuranga) Limitied is a member of, and is privately owned.The care facility is attached to the village complex and is managed by a village manager. The village manager reports to the Chief Executive Officer (CEO). The care services are managed by a clinical manager who is supported by a clinical coordinator. A clinical manager for Real Living Group oversees all four facilities and is responsible for quality management.</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Counties Manukau District Health Board. The audit process included review of policies and procedures, review of residents’ and staff records, observations and interviews with residents, family members, management, allied health, staff and a general practitioner.</w:t>
      </w:r>
    </w:p>
    <w:p w:rsidRPr="00A4268A">
      <w:pPr>
        <w:spacing w:before="240" w:line="276" w:lineRule="auto"/>
        <w:rPr>
          <w:rFonts w:eastAsia="Calibri"/>
        </w:rPr>
      </w:pPr>
      <w:r w:rsidRPr="00A4268A">
        <w:rPr>
          <w:rFonts w:eastAsia="Calibri"/>
        </w:rPr>
        <w:t>This audit has resulted in three new areas identified as requiring improvement in relation to the document control system, temperature control of the medication room and the menu plans not being reviewed by a registered dietitian in the required timeframe. The three areas identified from the previous audit have been fully addressed.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disclosure and communication between staff, residents and families is promted and was confirmed to be effective. There is access to interpreter services if required.</w:t>
      </w:r>
    </w:p>
    <w:p w:rsidRPr="00A4268A">
      <w:pPr>
        <w:spacing w:before="240" w:line="276" w:lineRule="auto"/>
        <w:rPr>
          <w:rFonts w:eastAsia="Calibri"/>
        </w:rPr>
      </w:pPr>
      <w:r w:rsidRPr="00A4268A">
        <w:rPr>
          <w:rFonts w:eastAsia="Calibri"/>
        </w:rPr>
        <w:t>A complaints register is maintained electronically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quality and risk management plan includes the scope, direction, objectives, values and philosophy of the organisation. Monitoring of the services provided to the governing body is regular and effective. The village manager and the clinical manager are both new to their roles since the previous audit. Member of the management team are qualified to undertake their roles.</w:t>
      </w:r>
    </w:p>
    <w:p w:rsidRPr="00A4268A">
      <w:pPr>
        <w:spacing w:before="240" w:line="276" w:lineRule="auto"/>
        <w:rPr>
          <w:rFonts w:eastAsia="Calibri"/>
        </w:rPr>
      </w:pPr>
      <w:r w:rsidRPr="00A4268A">
        <w:rPr>
          <w:rFonts w:eastAsia="Calibri"/>
        </w:rPr>
        <w:t>The quality and risk management system includes collection and anlysis of quality improvement data, identifies any trends and leads to improvement. Staff are involved and feedback is provided at the staff and quality meetings. A resident/family survey is completed in December each year. Adverse events are documented with corrective actions being completed and signed off by management.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 xml:space="preserve">The appointment, orientation and management of staff is based on current good practice. Ongoing training supports safe service delivery and includes regular annual staff appraisals being performed.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Needs Assessment Service Coordination (NASC) team assesses residents before entry to confirm the level of care required. Assessments and care plans are completed and evaluated by the nursing team. Short-term care plans are developed for all short-term problems, and these were verified in records sampled.</w:t>
      </w:r>
    </w:p>
    <w:p w:rsidRPr="00A4268A" w:rsidP="00621629">
      <w:pPr>
        <w:spacing w:before="240" w:line="276" w:lineRule="auto"/>
        <w:rPr>
          <w:rFonts w:eastAsia="Calibri"/>
        </w:rPr>
      </w:pPr>
      <w:r w:rsidRPr="00A4268A">
        <w:rPr>
          <w:rFonts w:eastAsia="Calibri"/>
        </w:rPr>
        <w:t>Activities plans are completed by the registered nurses (RNs) and the diversional therapist (DT). The activities programme is developed in consultation with family/whanau and residents noting activities of interest. Planned activities are appropriate to the residents’ assessed needs and abilities. In interviews, residents and family/whanau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policy in place. The organisation uses an electronic system in e-prescribing, dispensing, and administration of medications. Staff involved in medication administration are assessed as competent to do so.</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supports a restraint free environment. Five enablers were in use and no restraints at the time of the audit. Use of enablers is described in policy as voluntary and the least restrictive in response to individual requests from residents. Staff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and associated activities are appropriate for the size and complexity of the service and are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requirments of Right 10 of the Code. The residents and family members interviewed stated that information was provided on admission and they knew how to access the forms if needed.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responsible for the complaints management. The clinical manager Park Rest Home is responsible for promptly and appropriately investigating and managing complaints, alongside the village manager. The complaints register is maintained by the personal assistant/secretary. The complaints register showed that there had been four written complaints in the last twelve months. The clinical manager confirmed that if a complaint is received action was commenced through to an agreed solution. This process is documented to include all required follow-up. Staff interviewed confirmed a sound knowledge and understanding of the complaints/compliment process and what actions are required. There have been no complaints received from any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they were kept well informed about any changes to their/their relative’s health and wellbeing and were advised in a timely manner about any indicents or accidents that occurred. Should any emergency admissions or medical reviews be required the family were contacted. Staff intrerviewed understood the principles of open disclosure which is supported by policy and procedures that meet the requirments of the Code of Health and Disability Services Consumers’ Rights.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knew how to access interpreter services if required. Staff are able to provide translation and act as an interpreter as and when needed, if required and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plan. The village manger interviewed stated that regular communication occurs between the board of directors, the village manger, clinical manager and the owners. The quality plan was sighted and this provides a quality statement, mission statement and organisational philosophy. Objectives of service delivery are documented. Annual and longer term objectives and associated operational plans are documented. The clinical manager reports to the village manager on a monthly basis and monthly reports were reviewed. In addition to this, the clinical manager reports to the clinical manager Real Living Group three monthly.</w:t>
            </w:r>
          </w:p>
          <w:p w:rsidR="00EB7645" w:rsidRPr="00BE00C7" w:rsidP="00BE00C7">
            <w:pPr>
              <w:pStyle w:val="OutcomeDescription"/>
              <w:spacing w:before="120" w:after="120"/>
              <w:rPr>
                <w:rFonts w:cs="Arial"/>
                <w:b w:val="0"/>
                <w:lang w:eastAsia="en-NZ"/>
              </w:rPr>
            </w:pPr>
            <w:r w:rsidRPr="00BE00C7">
              <w:rPr>
                <w:rFonts w:cs="Arial"/>
                <w:b w:val="0"/>
                <w:lang w:eastAsia="en-NZ"/>
              </w:rPr>
              <w:t>There has been some changes since the previous audit in relation to the appointment of a new clinical manager, a clinical coach and resource nurse part-time (48 hours/week), and a clinical coordinator. The previous clinical manger now has the position of clinical manager Real Living Group and covers/oversees four aged care facilities within this organisation. The clinical manager Real Living Group is responsible for the complaints mangement and quality management for the organisation. The clinical manager and coordinator were available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an experienced registered nurse who has been recently employed in this role and is responsible for the day to day running of the services provided. The clinical manager reports to the village manager who also has been recently appointed to this position.  The village manager interviewed reports any concerns to the board of directors and monitors the care facility performance including financial performance, any emerging risks and/or any issues. Responsibilities and accountabilities were defined in job descriptions reviewed and individual employment agreements. The members of the management team confirmed their knowledge of the sector, regulatory and reporting requirements and maintain currency through regular ongoing education related to their roles.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Counties Manukau District Health Board (CMDHB) for rest home level care including respite care and hospital level care (since 02 November 2020). In addition to this, they have contracts for primary options for acute care (POAC) and mental health. On the day of audit there were 37 residents receiving care; 29 rest home, eight hospital (including the one mental health hospital level care resident). There were no residents receiving care under the POAC contract and no residents receiving respite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quality and risk plan which details the risk, current controls and ongoing action required. The residents are the prime focus in planning, delivery and evaluation of services. Goals and objectives are outlined. Risk mangment is defined and categorised. This includes management of incidents and complaints and internal audit activities, a regular resident satisfaction survey, monitoring of outcomes, clinical incidents including infections, restraint minimisation and safe practice and accident and incident reporting.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staff and quality meetings as appropriate. The village manger has a close working relationship with the board of directors and the owners. Staff reported their involvement in quality and risk management activities through audit activities, review of statistical quality data and corrective action followup. Relevant corrective actions are developed and implemented by the clinical manager to address any shortfalls with the outcomes evaluated prior to sign off.</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the last being completed in December 2020. The results evidenced residents were satisfied with all service provision. Any additional comments were followed up by the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The policies and procedures for all areas of service delivery are under review, and in particular the clinical policies since the hospital level care contract was commenced in November 2020. Policies and procedures were all outdated except for a couple of manuals which have been updated recently. This is work in progress; however, there are new staff employed and they are reliant on the policies being reviewed to guide them in addition to their job descriptions and responsibilities outlined. The quality manual, for example, has not been reviewed since 2017. Additional administrative resource is currently being reviewed to ensure that updated documents are formatted and filed in a timely manner. As an interim measure, an administrator is now closely working with the clinical manager Real Living Group to print and file updated documents in the hard copy folders as soon as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interviewed described the processes for the identification, monitoring, review and reporting of any risks and development of mitigation strategies. The clinical manager is up to date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now recorded online in a monthly log, were fully completed, incidents were investigated, action plans developed and actions followed up in a timely manner. Adverse event data is collated, analysed and reported to the clinical manager, clinical manager Real Living Group and to the village manager. Significant events are reported to the board of directors immediately as required or as per the reporting system in place.</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described essential notifications reporting requirements including for pressure injuries. One Section 31 notice has been been completed since the previous audit in relation to key staff changes. There have been no police investigations, coroner’s inquests, issues based audits and any other notifications.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processes are based on good employment practice and relevant legislation (refer to CAR 1.2.3.4). The recruitment process includes referee checks, police vetting and validation of qualifications and practising certificates (APCs) where required. A sample of staff records were reviewed and the records are maintained to a high standard inclusive of staff education completed by each individual staff member. The individual employment contracts and job descriptions were visible in the records.</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is comprehensive and includes all necessary components relevant to the role. Staff interviewed reported that the orientation process prepared them well for their role. Staff records reviewed showed documentation of completed orientation and a performance review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Continuing eduction is planned annually and includes all mandatory educational requirements. The education and training calendar is available for staff. Staff are also linked into the electronic learning system utilised by CMDHB staff and community services are welcome to use this for ongoing learning opportunities.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(NZQA) education programme to meet the requirements of the provider’s agreement with the DHB. There are nineteen caregivers and 14 have completed level 4, one is at level 3 and four have not completed any levels currently. </w:t>
            </w:r>
          </w:p>
          <w:p w:rsidR="00EB7645" w:rsidRPr="00BE00C7" w:rsidP="00BE00C7">
            <w:pPr>
              <w:pStyle w:val="OutcomeDescription"/>
              <w:spacing w:before="120" w:after="120"/>
              <w:rPr>
                <w:rFonts w:cs="Arial"/>
                <w:b w:val="0"/>
                <w:lang w:eastAsia="en-NZ"/>
              </w:rPr>
            </w:pPr>
            <w:r w:rsidRPr="00BE00C7">
              <w:rPr>
                <w:rFonts w:cs="Arial"/>
                <w:b w:val="0"/>
                <w:lang w:eastAsia="en-NZ"/>
              </w:rPr>
              <w:t>Five registered nurses including two in management have completed their competencies to undertake interRAI assessments. Records reviewed demonstrated completion of the required training and completion of annual performance appraisals by the clinical manager. All registered nurses are enrolled in the professional development and recognition programme at CMDHB. This is a new intiative introduced by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to cover the service 24 hours a day, seven days a week. The clinical manager stated that the staffing levels are adjusted to meet the changing needs of residents. Staff interviewed reported that good access to advice is available.  There is an after hours on-call system which works effectively with the clinical manager and the clinical coordinator covering alternate weeks. The village manager is also on call for non-clinical issues should this arise.  Team work is encouraged. Staff interviewed also stated that there were adequate staff available to complete the work allocated to them. Agency staff are used if needed. Most vacant shifts are covered by exising staff. At least one staff member on duty has a current first aid certificate. In the event of a village resident summoning assistance, a specific staff member is allocated to respond to the village call bells. This still ensures coverage on the care floor and meets the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An area of improvement identified in the previous audit related to the requirement to increase the registered nurses to cover the service adequately at the time of the audit and for the plan to change to providing hospital level care to residents. Registered nurses would be required to cover the service twenty four hours a day, seven days a week. This area of improvement has been fully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is implemented to ensure that residents receive medicines in a secure and timely manner. Medication charts sampled complied with legislation, protocols, and safe practice guidelines. Medication reconciliation is conducted by the nursing team when the resident is transferred back from the hospital or any other external appointments. The organisation uses an electronic medication management system.  All medications were reviewed every three months and as required by the attending GPs. Allergies were indicated, and photos current for easy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The RNs were observed administering medication following the eight rights of medication administration in their respective wings. Medications were stored safely and securely in the locked cupboards and treatment rooms.</w:t>
            </w:r>
          </w:p>
          <w:p w:rsidR="00EB7645" w:rsidRPr="00BE00C7" w:rsidP="00BE00C7">
            <w:pPr>
              <w:pStyle w:val="OutcomeDescription"/>
              <w:spacing w:before="120" w:after="120"/>
              <w:rPr>
                <w:rFonts w:cs="Arial"/>
                <w:b w:val="0"/>
                <w:lang w:eastAsia="en-NZ"/>
              </w:rPr>
            </w:pPr>
            <w:r w:rsidRPr="00BE00C7">
              <w:rPr>
                <w:rFonts w:cs="Arial"/>
                <w:b w:val="0"/>
                <w:lang w:eastAsia="en-NZ"/>
              </w:rPr>
              <w:t>The controlled drug register was reviewed and found to be current and correct. Weekly and six-monthly stock takes were conducted. There was one resident self-administering inhalers at the time of the audit who has been assessed as competent to do so. Administration records were maintained, and medicines were stored in a secure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corrective action relating to the GPs not signing verbal phone orders was corrected. The service transitioned from a paper-based to an electronic medication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Records of fridge temperature monitoring were sighted; however, medication room temperatures were not being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service is run by the head chef and two other chefs supported by the kitchen hands. Meal services are prepared on-site and served in the respective dining areas. The food control plan was current and expires on 15 December 2021. The kitchen staff have current food handling certificates. Diets are modified as required and the head chef confirmed awareness of the dietary needs of the residents. The residents have a nutritional profile developed on admission which identifies dietary requirements, likes, and dislikes. The resident’s weight is monitored regularly, and supplements are provided to residents with identified weight loss issues. Snacks and drinks are available for residents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of food, fridges, and freezers are maintained. Regular cleaning is undertaken, and all services comply with current legislation and guidelines. The residents and family/whanau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 requiring improvement relating to kitchen staff training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Evidence of menu review by the registered dietitian was not sighted on the day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interventions in the service delivery plans were relevant to address the assessed needs and desired goals/outcomes. All significant changes were reported in a timely manner. The GP reported that communication was conducted transparently, medical input was sought in a timely manner that medical orders were followed, and care was person-centred. Care staff confirmed that care was provided as outlined in the care plan. A range of equipment and resources was available, suited to the levels of care provided and following the residents’ needs, including for YPD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activities are appropriate to the residents’ needs and abilities. Activities are conducted by the diversional therapist (DT) who has been working at the service for over 15 years in various roles. The other role for the activities person is currently under recruitment. The activities are based on assessment and reflected the residents’ social, cultural, spiritual, physical, cognitive needs/abilities, past hobbies, interests, and enjoyments. Residents’ birthdays are celebrated.  A resident profile is completed for each resident within two weeks of admission in consultation with the family. Weekly activities planners are displayed on various notice boards at the facility and individual copies were given as requested.</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formulated by the DT. The activities are varied and appropriate for residents assessed as requiring rest home, hospital level of care, and for young people with disabilities. The sighted weekly activity programme had the following activities: garden walks; music; brain exercises; word search; bus trips; tai chi; one on one activities; the celebration of national and world events.  Residents’ activities care plans were evaluated along with long-term care plans and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An activity attendance list is completed daily for each resident. The residents were observed participating in a variety of activities on the audit day. The planned activities and community connections are suitable for the residents. There are regular outings/drives, for all residents (as appropriate). Family members and residents expressed satisfaction with the activities programme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All noted changes by the health care assistants were reported to the nursing team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about desired outcomes and goals, occur every six months or sooner if residents’ needs change. The evaluations are carried out by the RNs in conjunction with family, residents, GPs, and specialist service providers. Where progress is different from expected, the service responded by initiating changes 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reviewed regularly or as indicated by the degree of risk noted during the assessment process.  Interviews verified residents and family members were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displayed at reception dated 12 March 2022 (Expiry). A few internal alterations were required in the care suite with the changes needed to providing hospital level care and these were followed up by the DHB.  No changes to the fire evacuation scheme were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The clinical manager (CM) is the infection prevention and control coordinator. Infection data is collected, monitored, and reviewed monthly. The data is collated and analysed to identify any significant trends or common possible causative factors and action plans are instigated. Staff interviewed reported that they are informed of infection rates at monthly staff meetings and through compiled reports. The GPs are informed within appropriate time frames when a resident has an infection and antibiotics are prescribed to combat the infection, as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should they be required. The facility operates a restraint free environment. Enablers are the least restrictive and are used voluntarily at the resident’s request. On the day of the audit, no residents were using restraints. Five enablers were in use for mobility purposes only. Restraint would only be used as a last resort when all alternatives have been explored. Staff/quality meeting minutes showed that they continue to promote a restraint free environment at Park Rest Home.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45"/>
        <w:gridCol w:w="1280"/>
        <w:gridCol w:w="5619"/>
        <w:gridCol w:w="2467"/>
        <w:gridCol w:w="20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 control system consisted of a signed and dated page to verify all policies had been reviewed annually. The clinical manager Real Living Group is now respoinsible for the quality management and documentation control. The document control records  had not been signed off for the last two years. The policies and procedures reviewed were not current to guide staff. The dates on policies were 2015 and 2017.  Two manuals of six reviewed had been reviewed in a timely manner. The current clinical policies do not fully align to having hospital level care residents in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reviewed in the hard copy manuals are not current and/or are available to service providers. In addition to this the clinical manuals do not adequately align with additional care and management required for hospital level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document control system is developed and implemented to meet the requirements of the system including date of policy review, updated referencing, signed off by whom and when next due for review.</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Fridge temperature monitoring was completed for the medicine refrigerators in the two medication rooms at the service and any deviations from normal were being reported and corrective actions implemented where necessary. Medication room temperatures were not being monitored and documented. The location of both rooms have very minimal ventilation and staff reported that they sometimes use fans in hot temperatures.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Temperature monitoring for the two medication rooms at the service were not being completed as per legislation, protocols, and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medication room temperatures are being monitored and recorded.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four-weekly cycle menu for the residents which includes the summer and winter menu. There was no evidence presented to show that the menu was reviewed by the registered dietitian in the last two years.There was no evidence sighted of when menu was last reviewed previously. The head chef reported that menu was regularly reviewed by the kitchen staff in consultation with residents and also following concerns raised from residents’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the menu having been reviewed by a registered dietitian.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menu review by the registered dietitian to ensure it complies with recognised nutritional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Villages of New Zealand (Pakuranga) Limited - Park Rest Home</w:t>
    </w:r>
    <w:bookmarkEnd w:id="58"/>
    <w:r>
      <w:rPr>
        <w:rFonts w:cs="Arial"/>
        <w:sz w:val="16"/>
        <w:szCs w:val="20"/>
      </w:rPr>
      <w:tab/>
      <w:t xml:space="preserve">Date of Audit: </w:t>
    </w:r>
    <w:bookmarkStart w:id="59" w:name="AuditStartDate1"/>
    <w:r>
      <w:rPr>
        <w:rFonts w:cs="Arial"/>
        <w:sz w:val="16"/>
        <w:szCs w:val="20"/>
      </w:rPr>
      <w:t>9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