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Mary Doyle Healthcare Limited - Mary Doyle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Mary Doyle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 Doyle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Mary Doyle Healthcare Limited - Mary Doyle Lifecare is part of the Arvida Group.  The service is certified to provide rest home, hospital, and dementia level care for up to 161 residents.  On the day of the audit there were 154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Mary Doyle Lifecare is managed by an acting village manager who is suitably qualified and experienced.  The manager is supported by support office staff and care managers who provide leadership for each unit.  There are established quality systems and processes being implemented.  The nurse practitioner, residents and relatives interviewed are very satisfied with the care and services provided.  </w:t>
      </w:r>
    </w:p>
    <w:p w:rsidRPr="00A4268A">
      <w:pPr>
        <w:spacing w:before="240" w:line="276" w:lineRule="auto"/>
        <w:rPr>
          <w:rFonts w:eastAsia="Calibri"/>
        </w:rPr>
      </w:pPr>
      <w:r w:rsidRPr="00A4268A">
        <w:rPr>
          <w:rFonts w:eastAsia="Calibri"/>
        </w:rPr>
        <w:t xml:space="preserve">The service has been awarded a rating of continuous improvement for the activities programme.  </w:t>
      </w:r>
    </w:p>
    <w:p w:rsidRPr="00A4268A">
      <w:pPr>
        <w:spacing w:before="240" w:line="276" w:lineRule="auto"/>
        <w:rPr>
          <w:rFonts w:eastAsia="Calibri"/>
        </w:rPr>
      </w:pPr>
      <w:r w:rsidRPr="00A4268A">
        <w:rPr>
          <w:rFonts w:eastAsia="Calibri"/>
        </w:rPr>
        <w:t>Improvements are required around advance directives, the quality programme, performance appraisals, care planning, and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stated that their rights are upheld.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w:t>
      </w:r>
    </w:p>
    <w:p w:rsidRPr="00A4268A">
      <w:pPr>
        <w:spacing w:before="240" w:line="276" w:lineRule="auto"/>
        <w:rPr>
          <w:rFonts w:eastAsia="Calibri"/>
        </w:rPr>
      </w:pPr>
      <w:r w:rsidRPr="00A4268A">
        <w:rPr>
          <w:rFonts w:eastAsia="Calibri"/>
        </w:rPr>
        <w:t>A complaints policy is documented that aligns with the Health and Disability Commissioner's (HDC) Code of Health and Disability Services Consumers' Rights (the Code).  A complaints register is maintained.  Consents are documented by residents or family.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Arvida philosophy and vision is a new ‘wellness model’ which is based around a household model of care.  The acting village manager provides overall leadership and operational management with support from the support office including the national quality manager for wellness and care. There are care managers who lead the teams working in each unit. </w:t>
      </w:r>
    </w:p>
    <w:p w:rsidRPr="00A4268A">
      <w:pPr>
        <w:spacing w:before="240" w:line="276" w:lineRule="auto"/>
        <w:rPr>
          <w:rFonts w:eastAsia="Calibri"/>
        </w:rPr>
      </w:pPr>
      <w:r w:rsidRPr="00A4268A">
        <w:rPr>
          <w:rFonts w:eastAsia="Calibri"/>
        </w:rPr>
        <w:t xml:space="preserve">The service has a documented quality and risk management programme with key components of the system including management of complaints, implementation of an internal audit schedule, annual satisfaction surveys, incidents and accidents, review of infections, and review of risk and monitoring of health and safety, including hazards.  Quality data is discussed at facility meetings.  </w:t>
      </w:r>
    </w:p>
    <w:p w:rsidRPr="00A4268A">
      <w:pPr>
        <w:spacing w:before="240" w:line="276" w:lineRule="auto"/>
        <w:rPr>
          <w:rFonts w:eastAsia="Calibri"/>
        </w:rPr>
      </w:pPr>
      <w:r w:rsidRPr="00A4268A">
        <w:rPr>
          <w:rFonts w:eastAsia="Calibri"/>
        </w:rPr>
        <w:t xml:space="preserve">Human resource policies are in place, including a documented rationale for determining staffing levels and skill mixes.  A roster provides sufficient and appropriate staff coverage for the effective delivery of care.  An orientation and training programme is documented and implemented.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are reviewed at least six-monthly.  Resident files included medical notes by the contracted general practitioner, nurse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or nurse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In the dementia care units is resident-focused and planned around everyday activities.  </w:t>
      </w:r>
    </w:p>
    <w:p w:rsidRPr="00A4268A" w:rsidP="00621629">
      <w:pPr>
        <w:spacing w:before="240" w:line="276" w:lineRule="auto"/>
        <w:rPr>
          <w:rFonts w:eastAsia="Calibri"/>
        </w:rPr>
      </w:pPr>
      <w:r w:rsidRPr="00A4268A">
        <w:rPr>
          <w:rFonts w:eastAsia="Calibri"/>
        </w:rPr>
        <w:t xml:space="preserve">All cooking and baking is done on site.  Residents' nutritional needs are identified and documented.  Choices are available and are provided.  An external dietitian reviews the organisation’s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Mary Doyle Lifecare has two buildings.  One building provides rest home and hospital level of care.  The other building provides a hospital level unit and two dementia care units.  Both buildings have current building warrant of fitness certificates.  Resident rooms are single, personalised, and spacious with an ensuite.  The environment is warm and comfortable.  There is adequate room for residents to move freely about the home using mobility aids.  </w:t>
      </w:r>
    </w:p>
    <w:p w:rsidRPr="00A4268A">
      <w:pPr>
        <w:spacing w:before="240" w:line="276" w:lineRule="auto"/>
        <w:rPr>
          <w:rFonts w:eastAsia="Calibri"/>
        </w:rPr>
      </w:pPr>
      <w:r w:rsidRPr="00A4268A">
        <w:rPr>
          <w:rFonts w:eastAsia="Calibri"/>
        </w:rPr>
        <w:t>Communal areas are well utilised for group and individual activity.  The dining and lounge-seating placement encourages social interaction within the rest home, dementia, and hospital areas.  There are quieter areas in the dementia care units appropriate to meet the individual needs.  There are outdoor areas that are safe and accessible.  There is a reactive and planned maintenance schedule in place.  The main site laundry operates throughout the day.  The cleaning service maintains a tidy, clean environment.  Staff are trained in emergency management procedures.  The service is well prepared in the event of an emergency.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are provided with access to training in restraint minimisation and challenging behaviour management.  At the time of audit there were six residents using restraints and five residents using an enabler.  The approval process for restraint use includes ensuring the environment is appropriate and safe.  Assessments and care plans identify specific interventions or strategies to try (as appropriate) before restraint is used.  Restraint use is reviewed a minimum of three-monthly.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Documented policies and procedures including Covid resources are in place for the prevention and control of infection and reflect current accepted good practice and legislative requirements.  Infection control education is provided to all service providers as part of their orientation and as part of the ongoing in-service education programme.  The type of surveillance undertaken is appropriate to the size and complexity of the organisation.  Results of surveillance are acted upon, evaluated and reported to relevant personnel.  Organisational benchmarking occurs.  There is sufficient personal protective equipment available in the event of an outbreak.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9"/>
        <w:gridCol w:w="1280"/>
        <w:gridCol w:w="102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visible locations throughout the facilities.  The service provides families/whānau and residents with information on entry to the service and this information includes details relating to the code of rights.  Staff receive training about the Code at induction and through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included seven caregivers, nine registered nurses, one enrolled nurse, kitchen manager, maintenance staff, wellness leader, activities assistant, restorative therapist, home assistant, health and safety representative, learning coordinator, village care coordinator, household assistant, payroll administrator.  Managers were also interviewed including the acting village manager, national quality manager, and three care managers.  All interviewed were able to describe services provided as being as per consumer rights legislation and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around informed consent, resuscitation status, advance directives, and enduring power of attorney (EPOA).  Informed consent is discussed with residents and families on admission as confirmed in resident and relative interviews.  General informed consent is included in the admission agreement sighted in the 13 resident files reviewed.  Specific consent forms were signed for influenza and Covid-19 vaccines.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forms have been appropriately signed in the rest home and hospital level files.  There is evidence of discussion with family when the GP has completed a clinically indicated ‘not for resuscitation’ order.  Advanced directives include hospital admission, active treatments and resuscitation which were correctly completed by the resident for hospital and rest home files reviewed, however not all advance directives were signed appropriately for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registered nurses interviewed confirmed verbal consent is obtained when delivering care.  Family members stated they are involved in decisions that affect their relative’s lives.  All thirteen resident files reviewed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information is included in the information provided to new residents and their family/whānau during their entry to the service.  Brochures and contact numbers are available to residents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were aware of the role of advocacy services and their right to access support.  The complaints process is linked to advocacy services.  Staff receive education on the role of advocacy services during their induction to the service and ongoing, as part of the annual education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and residents interviewed stated that they are forums that encourage discussion.  Family of residents in the dementia unit are also encouraged to engage in activities with their family member.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Discussions with residents and relatives confirmed they were provided with information on complaints on admission to the service and at intervals during resident/family meetings.  Complaints forms are in a visible location at the entrance to the facility.  All residents and family interviewed confirmed that they have no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village manager/clinical manager maintains a record of all complaints, both verbal and written.  One complaint was received in 2020 and this was reviewed with confirmation that appropriate follow-up actions had been taken with resolution of the complaint to the satisfaction of the complainant.  There had not been any complaints lodged in 2021.  Caregivers interviewed commented that complaints are part of the meeting agenda and are discussed at various facility meetings with this sighted in meeting minutes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lodged by external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welcome pack that includes information about the Code.  There is opportunity to discuss aspects of the Code during the admission process with the resident, family and as appropriate their legal representative.  The Code and advocacy pamphlets are clearly displayed at the facility entrance and on noticeboards throughout the hospital, rest home and dementia units.  Large print posters are also displayed throughout the three areas.</w:t>
            </w:r>
          </w:p>
          <w:p w:rsidR="00EB7645" w:rsidRPr="00BE00C7" w:rsidP="00BE00C7">
            <w:pPr>
              <w:pStyle w:val="OutcomeDescription"/>
              <w:spacing w:before="120" w:after="120"/>
              <w:rPr>
                <w:rFonts w:cs="Arial"/>
                <w:b w:val="0"/>
                <w:lang w:eastAsia="en-NZ"/>
              </w:rPr>
            </w:pPr>
            <w:r w:rsidRPr="00BE00C7">
              <w:rPr>
                <w:rFonts w:cs="Arial"/>
                <w:b w:val="0"/>
                <w:lang w:eastAsia="en-NZ"/>
              </w:rPr>
              <w:t>The Code, advocacy information and information on complaints/compliments is brought to the attention of residents and families at admission, in the information pack, via the monthly resident meetings and the six-monthly relatives’ meetings.  Mary Doyle Lifecare provides an open-door policy for concerns and/or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relatives (three dementia care, three hospital level and three rest home) and 15 residents (5 rest home level and 10 hospital level) interviewed stated they were provided with information on admission which included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positive about the service in relation to their values and beliefs being considered and met.  Resident files and care plans identified residents' preferred names.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to knock on doors before entering resident bedrooms.  Care staff confirmed they promote the residents' independence by encouraging them to be as active as possible.  Residents and relatives interviewed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cultural, social, religious, and spiritual beliefs are identified on admission and included in the resident’s care plan/activity plan, to ensure the resident receives services that are acceptable to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Values and beliefs information is gathered on admission with family involvement and is integrated into the residents' care plans.  Training around privacy and dignity was provided in 2020 and 2021.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abuse and neglect.  Staff receive training around abuse and neglect.  Care staff interviewed were able to discuss ways in which they would manage suspected abuse or neglect.  Staff, managers, and the nurse practitioner interviewed confirmed that there is no evidence of any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 Doyle Lifecare has a Māori health plan in place.  There is a range of supporting policies that acknowledge the Treaty of Waitangi and provide recognition of Māori values and beliefs.  They value and encourage active participation and input of the family/whānau in the day-to-day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this audit, there were two Māori residents living at the facility.  There are established links with Te Wahanga Hauora Māori Health Services, Hawkes Bay District Health Board with advice able to be provided as required.  Any specific cultural needs are recorded in the resident’s care plan with staff able to describe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This is achieved in collaboration with the resident, family and/or their representative.  Beliefs and values are incorporated into the residents’ care plans in resident files reviewed.  Residents and family/whānau interviewed confirmed they were involved in developing the residents plan of care, which included the identification of individual values and beliefs.  There was documented evidence of the service acknowledging other cultures around values, beliefs, religion, and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Staff recognise and respond to values, beliefs, and cultural differences.  Residents are supported to attend church services of their choice and are supported to attend other cultural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implementation of policies and processes around boundaries relating to discrimination, abuse and neglect, harassment, and exploitation.  Training includes discussion of the staff code of conduct and prevention of inappropriate care.  Staff interviewed stated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The employee agreement provided to staff on induction includes standards of conduct.  Interviews with staff confirmed their understanding of professional boundaries, including the boundaries of the caregivers’ role and responsibilities.  Monthly staff meetings include discussions on professional boundaries and concerns as they arise (minutes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Registered nursing staff are available 24 hours a day.  A nurse practitioner or general practitioner visits the facility three days a week.  The general practitioner (GP) or nurse practitioner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 visits as required.  Physiotherapy services are provided on site for two hours per week with the support of a full-time physiotherapy assistant.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occur regularly (as sighted).  Staff are kept informed on all facility and clinical matters.  Residents and family interviewed stated that they are kept well informed around Covid-19.  Discussions with residents and family were positive about the care they receive.  The nurse practitioner interviewed praised the service for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confirmed on interview that the staff and management are approachable and available.  Residents have the opportunity to feedback on service delivery through monthly resident meetings and the annual resident/relative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total 23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are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 Doyle Healthcare Limited - Mary Doyle Lifecare provides hospital (geriatric and medical), rest home and dementia level care for up to 161 residents.  All bedrooms in the hospital/rest home units are dual purpose.  On the day of audit, there were 154 residents in the service including 45 residents identified as requiring rest home level of care; 47 requiring hospital level of care; and 62 residents in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across five separate units; two dementia units (64 beds including Ashcroft with 34 beds with an occupancy of 32 residents, and Goddard with 30 beds with an occupancy of 30 residents); one rest home only unit (Bramlee with 34 beds) with an occupancy of 34 residents requiring rest home level of care; and two units (Reeve with 37 beds and Nimon with 23 beds) with a combination of residents requiring hospital and rest home level of care (Nimon with 17 hospital and five rest home residents, and Reeve with 30 hospital and six rest home residents.  There are three serviced apartments noting that these were not occupied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the following contracts: Long Term Support - Chronic Health Conditions (CHS-CHC) with three residents under this contract (one requiring dementia level of care, one under this contract at rest home level of care, and one under this contract at hospital level of care); Restore in ARRC Residential Care Services known as Engage (no residents funded by this contract on the day of audit); there was no-one requiring respite services; two partially funded under the Age Related Residential Care (ARRC) contract and ACC; and all others under the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village manager has nine years’ experience as a registered nurse with five years in aged residential care. He has a postgraduate certificate relating to nursing leadership and management.  They are supported by management including the national quality manager in wellness and care, and three care managers who provide leadership in the units.  All managers have maintained over eight hours annually of professional development activities related to managing an aged care service and clinical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most senior care manager is identified as the second in charge should the acting village manager be on leave.  They would be supported by the national quality manager in wellness and care, and another care manager would step up to cover the unit that the second in charge leads.  All interviewed were aware of their duties should they be required to take a leadership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programme is in place.  Interviews with the managers and staff reflected their understanding of the quality and risk management. There was a business plan that has been reviewed for 2020 with the business plan for 2021 now in place.  Upper management at support office including the chief executive officer, the chief financial officer and the national quality manager for wellness and care reviewed the last plan prior to the documentation of the 2021 plan.  The plan includes quality goals and risk management plans for Mary Doyle Lifecare.  The acting village manager is responsible for providing oversight of the quality programme on site, which is also monitored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policies/procedures are prepared and uploaded to the Arvida Intranet and are accessed by staff using the laptops and computers available to all staff.  Hard copies are at this stage still made available on site.  Each document identifies an approver (coordinated at support office), following input from internal experts, such as clinical/care managers (for clinical policies, or external providers used as subject matter experts.  All policies/procedures are approved prior to distribution and use.  All staff are notified of changes or updates to policies/procedures as they occur, via a weekly intranet update email notice, which contains the relevant intranet link.  All policies and procedures are reviewed at least every two years noting that this does not exclude earlier review where changes in internal process, procedure, or industry standards and/or best practice occur.  Changes to documents may also occur as a result of internal audit and process improvement initiatives.  Any policy or procedure documents, no longer current/in use are removed and archived.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resident falls; infection rates; complaints received; restraint use; pressure injuries; wounds; and medication errors.  An annual internal audit schedule was sighted for the service, with evidence of internal audits occurring as per the audit schedule in 2021.  Quality and risk data, including trends in data and results are discussed in relevant meetings.  Corrective actions are not always documented when issues are identified.  At times, corrective action plans are documented, however evidence of resolution of issues is not always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management reports to head office.  There are a range of meetings held to discuss issues and data.  These include the monthly individual household meetings, activities meetings, quality meetings, food services, maintenance, health and safety, infection control, restraint and other as required.  There is a monthly business meeting that includes village managers from across the Arvida Group; and monthly clinical managers meeting with managers from across the Arvida Group.  A residents meeting occurs, and an annual resident survey is completed.  The last survey completed in February 2021 had 66 respondents.  Those responding were highly satisfied in areas relating to safety and security, grounds, accommodation, clinical care, and cleaning, with corrective actions put in place to address lower satisfaction in food services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 service has identified improvements in the following: the transition to the Arvida Wellness Model of Care has been implemented.  This involves the incorporation of the five pillars of living well – eating, moving, resting, thinking, and engaging well, to the daily lives of the residents.  Wellness activities in the dementia units has promoted individual preferences and independence had been greatly improved.  Clinical documentation and reporting have improved as a result of the introduction of eCase in all the care households.  Interviews with staff and review of meeting minutes/quality corrective action forms/opportunist education sessions, demonstrated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goals are established and regularly reviewed at the village managers monthly teleconference meeting.  Risk management, hazard control and emergency policies and procedures are implemented and are monitored by the health and safety committee at the monthly health and safety meeting.  Hazard identification forms and an up-to-date hazard register are in place.  There is a falls prevention programme implemented (ink 1.3.6.1).  Three of the village specific goals in the Mary Doyle Lifecare 2021 quality plan set annually in July each year relate to health and safety.  The first goal is around pressure Injury reduction; the second relates to infection control and to the reduction of urinary tract infections with a target of &lt;10% of total resident number per month; and the third being to reduce manual handling related staff injuries by 20%.  All goals are currently progressing well with initiatives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manually collates this information for analysis.  Monthly and annual reports are produced, which are then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were 23 resident-related incident forms reviewed.  All incident forms (one near miss, two episodes of challenging behaviour, two witnessed falls, fourteen unwitnessed falls and five classified as ‘other’) identified a timely RN assessment of the resident and corrective actions to minimise resident risk and reoccurrence.  Neurological observations were not completed for all unwitnessed falls (link 1.3.6.1).  The caregivers interviewed could discuss the incident reporting process.  The care managers investigate and sign off on all incident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managers and national quality manager interviewed could describe situations that would require reporting to relevant authorities.  Public Health were notified appropriately for two outbreaks occurring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Sixteen staff files sampled, (four caregivers, one kitchenhand, one cleaner, the kitchen manager, a diversional therapist, two care managers, acting village manager/clinical manager, four RNs and one enrolled nurse), included evidence of the recruitment process, employment contracts and reference checks.  Job descriptions are on each file.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and is developed specifically to worker type.  Orientation is completed when staff come into the service with one new staff interviewed stating that the orientation programme had included a buddy system and review of policies.  A training programme is in place with staff accessing an online programme to complete topics.  Competencies are also completed.  Staff have had extensive training around Covid-19, pandemic planning and use of personal protective equipment (PPE).  Annual performance appraisals are not always completed annually.  The service has a designated staff educator to support new and existing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is maintained with all health professionals having a current annual practicing certificate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 managers and eighteen RNs.  Thirteen RNs are identified as being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122 caregivers in the service.  Caregivers have completed the following Careerforce training as per contractual specifications: level 0 – 3; level 2 – 19; level 3 – 23; and level 4 – 43.  Caregivers in the dementia unit have completed relevant NZQA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The service has a total of 252 staff in various roles.  These include a management team, 18 RNs, 7 enrolled nurses, 122 caregivers, 10 activities/diversional therapists, 7 administration staff, 76 support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is staff on duty to match needs of different shifts.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managers (all RNs) are all rostered on as additional staff to the RNs identified above. The care managers provide an on-call service for staff should they need support.  The care managers are aware that extra staff can be called on for increased resident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leader (a level 4 caregiver) rostered onto the morning and afternoon shifts with an enrolled nurse rostered on the afternoon shifts for three days one week and five days the next week. </w:t>
            </w:r>
          </w:p>
          <w:p w:rsidR="00EB7645" w:rsidRPr="00BE00C7" w:rsidP="00BE00C7">
            <w:pPr>
              <w:pStyle w:val="OutcomeDescription"/>
              <w:spacing w:before="120" w:after="120"/>
              <w:rPr>
                <w:rFonts w:cs="Arial"/>
                <w:b w:val="0"/>
                <w:lang w:eastAsia="en-NZ"/>
              </w:rPr>
            </w:pPr>
            <w:r w:rsidRPr="00BE00C7">
              <w:rPr>
                <w:rFonts w:cs="Arial"/>
                <w:b w:val="0"/>
                <w:lang w:eastAsia="en-NZ"/>
              </w:rPr>
              <w:t>The team leader (a level 4 caregiver) is rostered on the morning and afternoon shifts and this is included in the numbers above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across five separate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Ashcroft (dementia unit) with an occupancy of 32 residents, there are four caregivers in the morning (three on a long shift and one on a short shift); five in the afternoon (two long shift and three short shift); and two caregivers overnight.  </w:t>
            </w:r>
          </w:p>
          <w:p w:rsidR="00EB7645" w:rsidRPr="00BE00C7" w:rsidP="00BE00C7">
            <w:pPr>
              <w:pStyle w:val="OutcomeDescription"/>
              <w:spacing w:before="120" w:after="120"/>
              <w:rPr>
                <w:rFonts w:cs="Arial"/>
                <w:b w:val="0"/>
                <w:lang w:eastAsia="en-NZ"/>
              </w:rPr>
            </w:pPr>
            <w:r w:rsidRPr="00BE00C7">
              <w:rPr>
                <w:rFonts w:cs="Arial"/>
                <w:b w:val="0"/>
                <w:lang w:eastAsia="en-NZ"/>
              </w:rPr>
              <w:t>Goddard (dementia unit) with an occupancy of 30 residents, there are four caregivers in the morning (two on a long shift and two on a short shift); five in the afternoon (two long shift and three short shift); and two caregivers overnight. Across the two dementia units, there is a registered nurse working 32 hours a week and a second registered nurse identified as 40 hours a week.</w:t>
            </w:r>
          </w:p>
          <w:p w:rsidR="00EB7645" w:rsidRPr="00BE00C7" w:rsidP="00BE00C7">
            <w:pPr>
              <w:pStyle w:val="OutcomeDescription"/>
              <w:spacing w:before="120" w:after="120"/>
              <w:rPr>
                <w:rFonts w:cs="Arial"/>
                <w:b w:val="0"/>
                <w:lang w:eastAsia="en-NZ"/>
              </w:rPr>
            </w:pPr>
            <w:r w:rsidRPr="00BE00C7">
              <w:rPr>
                <w:rFonts w:cs="Arial"/>
                <w:b w:val="0"/>
                <w:lang w:eastAsia="en-NZ"/>
              </w:rPr>
              <w:t>In Bramlee with an occupancy of 34 residents requiring rest home level of care, there are five caregivers in the morning (two on a long shift and three on a short shift); six in the afternoon (three long shift and three short shift); and one caregiver overnight.  There is one registered nurse for eight hours, five days a week and one registered nurse for Saturday and Sunday every second week.</w:t>
            </w:r>
          </w:p>
          <w:p w:rsidR="00EB7645" w:rsidRPr="00BE00C7" w:rsidP="00BE00C7">
            <w:pPr>
              <w:pStyle w:val="OutcomeDescription"/>
              <w:spacing w:before="120" w:after="120"/>
              <w:rPr>
                <w:rFonts w:cs="Arial"/>
                <w:b w:val="0"/>
                <w:lang w:eastAsia="en-NZ"/>
              </w:rPr>
            </w:pPr>
            <w:r w:rsidRPr="00BE00C7">
              <w:rPr>
                <w:rFonts w:cs="Arial"/>
                <w:b w:val="0"/>
                <w:lang w:eastAsia="en-NZ"/>
              </w:rPr>
              <w:t>Reeve with 30 hospital and six rest home residents, there are eight caregivers in the morning five on a long shift and three on a short shift); six in the afternoon (three long shift and three short shift); and two caregivers overnight. There is one registered nurse on each shift.</w:t>
            </w:r>
          </w:p>
          <w:p w:rsidR="00EB7645" w:rsidRPr="00BE00C7" w:rsidP="00BE00C7">
            <w:pPr>
              <w:pStyle w:val="OutcomeDescription"/>
              <w:spacing w:before="120" w:after="120"/>
              <w:rPr>
                <w:rFonts w:cs="Arial"/>
                <w:b w:val="0"/>
                <w:lang w:eastAsia="en-NZ"/>
              </w:rPr>
            </w:pPr>
            <w:r w:rsidRPr="00BE00C7">
              <w:rPr>
                <w:rFonts w:cs="Arial"/>
                <w:b w:val="0"/>
                <w:lang w:eastAsia="en-NZ"/>
              </w:rPr>
              <w:t>Nimon with 17 hospital and five rest home residents, there are five caregivers in the morning (three on a long shift and two on a short shift); five in the afternoon (two long shift and three short shift); and one caregiver overnight. There is one registered nurse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caregiver who works between both Nimon and Bramlee overnight. </w:t>
            </w:r>
          </w:p>
          <w:p w:rsidR="00EB7645" w:rsidRPr="00BE00C7" w:rsidP="00BE00C7">
            <w:pPr>
              <w:pStyle w:val="OutcomeDescription"/>
              <w:spacing w:before="120" w:after="120"/>
              <w:rPr>
                <w:rFonts w:cs="Arial"/>
                <w:b w:val="0"/>
                <w:lang w:eastAsia="en-NZ"/>
              </w:rPr>
            </w:pPr>
            <w:r w:rsidRPr="00BE00C7">
              <w:rPr>
                <w:rFonts w:cs="Arial"/>
                <w:b w:val="0"/>
                <w:lang w:eastAsia="en-NZ"/>
              </w:rPr>
              <w:t>Three serviced apartments noting that these were not occupied on the day of audit. Three serviced apartments are certified to provide rest home level care for a resident occupying these, noting that these were not occupied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confirmed there are sufficient staff to meet the needs of residents.  The caregivers interviewed confirmed that they have sufficient staffing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are appropriate to the service type.  Residents entering the service have all relevant initial information recorded within 24 hours of entry into the resident’s individual record.  Resident files are protected from unauthorised access by password protection for electronic files and information.  Informed consent to display photographs is obtained from residents/family on admission.  Other residents or members of the public cannot view sensitive resident information.  Amendments to care plans were individually signed and dated with a designation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acting village manager and three care managers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Specific information around dementia care and secure environments was also included in the information pack.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there were no short stay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There are no standing orders, and no vaccines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enrolled nurses and medication competent, level 4 caregivers (team leaders) administer medications, have up to date medication competencies and there has been medication education in the last year.  Registered nurses have syringe driver training completed by the hospice.  The medication fridges and room temperatures are checked daily and are within the required ranges.  Eye drops viewed in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Twenty-six medication charts were reviewed.  Medications are reviewed at least three-monthly by the GP.  There was photo identification and allergy status recorded.  ‘As required’ medications had indications for use charted and the effectiveness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procurement of the food and management of the kitchen.  All meals are cooked on site, with meals being delivered to all six units in heated scan boxes.  The kitchen was observed to be clean and well-organised, and a current approved food control plan was in evidence, expiring November 2021.  All kitchen staff are qualified in food hygiene.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There is a procedure and policy for kitchen fridge and freezer temperatures to be monitored and recorded daily.  Food temperatures are checked at all meals.  The residents have a nutritional profile developed on admission, which identifies dietary requirements and likes and dislikes.  This is reviewed six-monthly as part of the care plan review.  Changes to residents’ dietary needs have been communicated to the kitchen using a printed dietary profile from the electronic resident management system.  Special diets and likes and dislikes are detailed on this dietary profile, a copy of which is kept by the kitchen for each resident.  The caregivers take a weekly menu to each individual resident (rest home and hospital) enabling them to choose meals in advance if they wish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files reviewed.  Six monthly interRAI assessments and reviews were evident for nine of thirteen resident files sampled as one hospital and two rest home residents and one dementia care resident had not been in the service for six months.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were appropriately completed according to need.  Behaviour, mood, and cognition assessments had been completed in all five dementia care files reviewed.  For the rest home and hospital resident files reviewed, not all outcomes from assessments were reflected into care plans (link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complete assessments to identify the care needs of the resident and use this information to inform the development of the care plan.  Care plans reviewed evidenced multidisciplinary involvement in the care of the resident.  All care plans reviewed were resident-centred.  Interventions documented support needs and provided detail to guide care with the exception of one hospital care plan (link 1.3.6.1).  Behaviour management plans in the five dementia files reviewed reflected the outcomes of behaviour assessments. Residents and relatives interviewed stated that they were involved in the care planning process.  There was evidence of service integration with documented input from a range of specialist care professionals, including the diabetic specialist nurse, dietitian, wound care specialist, occupational therapist, and mental health services for the older person.  The care staff interviewed advised that the care plans were easy to follow.  Integration of records and monitoring documents occurs. Long term care plans are updated for acute changes in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GP/NP consultation.  Staff stated that they notify family members about any changes in their relative’s health status.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five chronic skin conditions, thirty-four skin tears, six abrasions, four cancerous lesions, seven moisture lesions, one laceration, one burn and eleven classed as ‘other’ which includes ingrown toenails, blisters etc.  There is also one facility acquired grade 2 pressure injury and one grade one facility acquired pressure injury.  There was evidence of wound nurse specialist involvement in chronic wound and pressure injury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and neurological observations.  However, monitoring was not always fully documented as required by the care plan.  Behaviour charts for new or escalating behaviours were sighted in the files of dementia care residents.  De-escalation strategies included re-orientation, re-direction, providing quiet time, activities, delirium screening and ‘as required’ medication as a last resort.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Wellness Leader and seven activity assistants to develop and coordinate the activity programme.  There are two qualified diversional therapists (DT) and five activity assistants working through their DT qualifications.  There is an activity assistant based in each household (unit) from 9 am-4.30 pm.  Caregivers are encouraged to involve themselves in activities with the residents.  There are volunteers involved in pet therapy, men’s workshop, crafts, storytelling and “Friends of the Apartments” for group facilitation, companionship and pamper services and bowls.  The recreational programme incorporates the Arvida living well model – engaging well, thinking well, moving well, resting well, thinking well, and eating well.  Each unit has its own programme that meets the physical, intellectual, cognitive, and emotional needs of the group of residents.  Activities include (but are not limited to); arts, crafts, news and views, exercises, walking groups, baking, music, music appreciation, story time, reminiscence, walks, board games, indoor games, pampering sessions, gardening, movies, armchair travel, chat room, gardening, ballroom dancing and happy hour.  There are many clubs such as coffee club, walking group, friendship club and men’s club.  The men’s club for the men in dementia care has provided the men with meaningful and purposeful projects.  Residents are involved in meaningful household activities.  Some activities are integrated for all levels of care residents.  One on one time is spent with residents who choose not to or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van outings/scenic drives a week.  At least one staff member on the outings holds a first aid certificate.  Festive occasions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pet therapy, churches, entertainers, and high school Gateway students.  There are five pilot drivers trained in taking residents for trishaw rides.  Each rest home/hospital unit has a resident meeting.  A “resident voice” meeting has been initiated for dementia care residents which has been successful.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“About Me” and a life history is completed soon after admission in consultation with resident and/or family to identify past hobbies, interests, occupation, family, spiritual and cultural supports.  Individual recreational preferences are identified for all residents including those younger people under long-term chronic health condition contact.  A leisure care plan is developed and evaluated six-monthly at the same time as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and surveys.  Residents and relatives interviewed expressed a satisfaction in the activities offered and felt there was always some activity to attend of their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was a change in resident health status.  Evaluations are documented and identify progress to meeting goals.  A six-monthly care plan review is also completed by the registered nurse with input from caregivers, the GP, NP, the wellness leader, resident (if appropriate)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Long term care plans are updated for acute changes in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 interviewed could describe the procedure for when a resident’s condition changes and the resident needs specialist input (i.e., hospice).  Discussion with the care manager and registered nurse identified that the service has access to a wide range of support either through the GP, specialists, mental health services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safe storage and use of chemicals.  Chemicals are stored safely within the sluice room of each unit.  The main chemical cupboard is within the main laundry.  Chemicals are labelled correctly.  Safety data sheets are available.  Chemical spills kits are available.  Personal protective equipment is available at the point of use.  Staff were observed to be wearing appropriate protective clothing.  All relevant staff have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All waste was disposed of appropriately.  Approved sharps containers were in place for the safe disposal of sharps.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 Doyle Lifecare includes Bramlee and Nimon units which are in one building on the grounds.  The other building includes Reeve hospital unit and Goddard and Ashcroft, (two dementia care units).  Both buildings have current building warrants of fitness certificates which expire 19 June 2021.  Building checks were underway for building warrant of fitness renewal.  The maintenance manager (full-time and on call) oversees the maintenance and grounds team, two porters and contractors.  There is a maintenance book in each nurses’ station which is checked daily, issues addressed and signed of as completed.  There are essential contractors available as required.  There is an annual maintenance schedule that include water temperature monitoring, electrical testing and tagging and calibration/checks of clinical equipment.  Hot water temperatures in resident areas had been maintained below 45 degrees Celsius.  Planned maintenance reports are forward to the property manager at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allow for safe mobility with the use of mobility aids and lazy boy chairs in the rest home and hospital units.  There was safe access (including wheelchair access) to the outdoor courtyards,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two dementia units have many exit/entry doors to the large secure outdoor courtyards and walking pathways.  There are raised gardens, seating, and shade and a clothes line.  One courtyard has bird aviaries, and the other courtyard has the outdoor seating shed and tool shed.  Residents were observed to be walking in the courtyards. independently and under supervision.  The respite room in Goddard dementia unit was assessed as suitable for respite care.  There is an external window, heating, and call bell.</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they had adequate equipment in each unit to safely carry out cares as per the care plans.  There is adequate space in the facilities for storage of mobility/transferring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Bramley (rest home) and Reeve (hospital) unit bedrooms have ensuites.  There are two standard rooms in Nimon with toilet and shower located nearby with all other rooms having an ensuite.  There is a large bathroom which can accommodate a shower trolley if required.  All bedrooms in Ashcroft dementia care unit have ensuites.  All bedrooms in Goddard dementia care unit have ensuites with the exception of the respite room.  A separate toilet and shower are located across the corridor from the room.   Handrails are appropriately placed in ensuite bathrooms and communal showers and toilets.  Privacy is assured with the use privacy curtains and privacy locks on communal toilet/shower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in all the units are single, spacious, and of an adequate size appropriate to the level of care provided.  The rest home rooms allow for the resident to move about the room independently with the use of mobility aids.  The hospital level rooms allow for the easy manoeuvre of hoists, lazy boy chairs and other equipment required to safely deliver care.  The bedrooms in the dementia units have sufficient space for residents to move about safely with mobility aids if required.  Residents and their families are encouraged to personalise the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Bramlee unit has seating and a shared library near the reception area.  Bramlee and Nimon units have large lounge and dining areas.  Seating is placed appropriately to allow for group and individual activities to occur.  Reeve hospital unit communal areas are spacious enough provide an additional area for activities with two lounges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care unit has a large spacious dining room with brightly decorated walls.  There is a lounge at each end of the units that opens out into the courtyard.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corridors in both buildings are wide with appropriately placed handrails.  Residents have easy access to communal areas for relaxation, dining, and activities and outdoors.  </w:t>
            </w:r>
          </w:p>
          <w:p w:rsidR="00EB7645" w:rsidRPr="00BE00C7" w:rsidP="00BE00C7">
            <w:pPr>
              <w:pStyle w:val="OutcomeDescription"/>
              <w:spacing w:before="120" w:after="120"/>
              <w:rPr>
                <w:rFonts w:cs="Arial"/>
                <w:b w:val="0"/>
                <w:lang w:eastAsia="en-NZ"/>
              </w:rPr>
            </w:pPr>
            <w:r w:rsidRPr="00BE00C7">
              <w:rPr>
                <w:rFonts w:cs="Arial"/>
                <w:b w:val="0"/>
                <w:lang w:eastAsia="en-NZ"/>
              </w:rPr>
              <w:t>Each building has a hairdresser’s room.  The Riverstone café between the two buildings is available for residents and families during the day and can be booked for special functions.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laundry which is located in the main building (Reeve, Goddard, and Ashcroft) has separate rooms for the washing and drying of laundry, personal clothing and laundry.  The laundry operates from 7 am to 4 pm.  There is a defined clean dirty/area with two entry/exit doors.  Porters transport from the other building in covered bins on wheels.  There is a separate clean linen room for folding and ironing.  Laundry staff have complete relevant training including infection control.  There is a laundry area in the Bramlee/Nimon building where personal clothing is laundered by a designated laundry person.  There is a small laundry in one of the dementia care units where caregivers launder personal clothing only.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cleaners for each unit from 9 am to 2 pm.  Cleaners’ trolleys viewed were well equipped and adequate personal protective equipment was available.  Cleaning trolleys are locked away when not in use.  Product wall charts and safety data sheets are available in cleaning and laundry areas.  Internal audits are carried out on laundry and cleaning processes.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in place to ensure health, civil defence and other emergencies are included.  The facility is well prepared for emergencies and has civil defence kits (readily accessible in each of the units) and emergency lighting.  All staff receive a site induction and ongoing education around responding to emergencies.  The service has an evacuation scheme (396E024009) approved by the fire service.  There are six-monthly fire drills held, last in February 2021, in all units.  There is a first aid trained staff member on every shift at both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civil defence supplies.  There is electric and gas cooking in the kitchen and barbeques are available for alternative cooking.  At least three days of food is available including food store in both buildings and the café.  There is a 30,000-litre external water tank.  The facility is on a priority list for the hire of a generator. </w:t>
            </w:r>
          </w:p>
          <w:p w:rsidR="00EB7645" w:rsidRPr="00BE00C7" w:rsidP="00BE00C7">
            <w:pPr>
              <w:pStyle w:val="OutcomeDescription"/>
              <w:spacing w:before="120" w:after="120"/>
              <w:rPr>
                <w:rFonts w:cs="Arial"/>
                <w:b w:val="0"/>
                <w:lang w:eastAsia="en-NZ"/>
              </w:rPr>
            </w:pPr>
            <w:r w:rsidRPr="00BE00C7">
              <w:rPr>
                <w:rFonts w:cs="Arial"/>
                <w:b w:val="0"/>
                <w:lang w:eastAsia="en-NZ"/>
              </w:rPr>
              <w:t>Pandemic planning is done in coordination with Hawkes Bay DHB and Arvida Group.  Mary Doyle strictly follows Alert Level guidelines set by the Ministry of Health.  A communication letter addressed to residents and family members would be sent immediately to notify of any Alert level change including the restrictions involved.  Contact tracing procedures are also consistently in place, both QR code and written, in addition to staff and visitor declaration forms.  The care centre managers and infection control coordinator report positive cases to the DHB Outbreak team and Arvida for further management and additional support.  Some RNs are also trained with Covid swabbing.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available in all bedrooms, ensuites and communal areas.  Pendant call bells are worn by residents at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buildings are secure at night.  A security company conducts regular night rounds.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rooms have large windows allowing adequate natural light.  Doors open out onto courtyards from some of the lounges and windows can be opened safely to allow adequate ventilation.  The communal areas, corridors and bedrooms are heated appropriately and maintained at a comfortable temperature.  There are individually temperature-controlled heaters in resident rooms.  Residents interviewed confirmed that the environment is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 Doyle has an established infection control (IC) programme that is implemented.  The acting village manager (registered nurse) is the infection control coordinator with support from the clinical team, care managers, national quality manager and general manager of wellness.  The acting village manager has had previous experience as an infection control coordinator.  There are defined infection control responsibilities in the job description for the infection control coordinator and terms of reference for the infection control committee.  The infection control programme for Mary Doyle has been reviewed by the committee and in consultation with the relevant personnel.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relatives interviewed stated they were kept well informed on visiting restrictions during the lockdown period.  Covid screening for visitors and contractors continues.  Influenza vaccines are offered to residents and staff.  Alcohol gel is freely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Mary Doyle.  The infection control (IC) coordinator has maintained practice by attending infection control meetings three monthly at the DHB and through monthly infection control meetings with the Arvida steering group for all infection control coordinators.  The infection control team meets monthly and has representatives from across the services.  External resources and support are available when required from the DHB, expertise as support office, public health, GPs, and laboratory services.  Laboratory results are emailed to the RNs. </w:t>
            </w:r>
          </w:p>
          <w:p w:rsidR="00EB7645" w:rsidRPr="00BE00C7" w:rsidP="00BE00C7">
            <w:pPr>
              <w:pStyle w:val="OutcomeDescription"/>
              <w:spacing w:before="120" w:after="120"/>
              <w:rPr>
                <w:rFonts w:cs="Arial"/>
                <w:b w:val="0"/>
                <w:lang w:eastAsia="en-NZ"/>
              </w:rPr>
            </w:pPr>
            <w:r w:rsidRPr="00BE00C7">
              <w:rPr>
                <w:rFonts w:cs="Arial"/>
                <w:b w:val="0"/>
                <w:lang w:eastAsia="en-NZ"/>
              </w:rPr>
              <w:t>Each unit has a supply of personal protective equipment which is checked weekly.  A DHB representative completed a site visit to assess the facility preparedness in the event of a pandemic.  The DHB and Arvida provided sufficient supplies of personal protective equipment.  PPE is checked monthly and reported to Arvida to ensure that supplies are sufficient.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There is a dedicated Covid folder (on the intranet) including DHB and MOH guidelines.  Information is printed off for staff into a resource folder.  Arvida infection control policies are reviewed two yearly or earlier if required.  Reviewed/new policies are discussed at unit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included in the annual education planner.  There has been additional education and training around outbreak management and Covid in an aged care environment.  All staff complete infection control education on induction and ongoing around hand hygiene – competencies and questionnaires.  Altura modules on infection control are completed by all staff.  Some staff have been trained in Covid swabbing.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discussed with residents that are appropriate to their needs including hand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Monthly infection data is collected for all infections based on standard definition of signs and symptoms of infections.  Surveillance of all infections is entered into the monthly online infection control register.  The infection control coordinator/RN collates data which is analysed for trends and opportunities for improvements.  Analysis of infections and corrective actions are discussed at the combined infection control/health and safety committee meetings and is an agenda topic across all facility meetings.  Data and graphs are made available to all staff.  Benchmarking occurs within the Arvida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since the last audit.  One scabies outbreak in Reeve (dual-purpose beds) in August 2019 and one norovirus outbreak in the dementia care unit’s March 2020.  The outbreaks were contained and well managed.  Case logs, correspondence and DHB/public health notifications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8134.2.  There are clear guidelines in the policy to determine what a restraint is and what an enabler is.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 service had three hospital level residents using bed rails as a restraint, one hospital resident with bed rails and chair brief as restraints, one hospital resident with chair brief only (restraint), one rest home resident using bedrails as a restraint and five hospital level residents using bedrails as an enabler.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available around restraint minimisation and management of challenging behaviours,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(care manager) are documented and understood.  The care manager has a sound understanding of the restraint minimisation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three hospital level residents using bed rails as a restraint, one hospital resident with bed rails and chair brief, one hospital resident with chair brief, one rest home resident using bedrails as a restraint and five hospital level residents using bedrails as an enabler were reviewed.  The completed assessments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includes ensuring the environment is appropriate and safe.  Assessments and care plans identify specific interventions or strategies to trial (as appropriate) before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of six residents with restraint, identified observations and monitoring with monitoring records indicating it is occurring at the frequency determined in the restraint assessment.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through the three-monthly evaluation process and six-monthly multidisciplinary meetings.  Restraint use is also discussed monthly at quality meetings.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at least three-monthly as part of the ongoing reassessment for the residents on the restraint register.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annually at Arvida support office.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73"/>
        <w:gridCol w:w="1280"/>
        <w:gridCol w:w="6967"/>
        <w:gridCol w:w="2464"/>
        <w:gridCol w:w="17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 forms include hospital admission, active treatments, and resuscitation status.  There is a separate resuscitation form completed by the GP for residents who lack the competency to make a decision.  Advance directives reviewed in the eight-rest home/hospital files had been signed appropriately, however advance directives had been incorrectly signed for three of five dementia care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resuscitation status (in the advance directive form) had been authorised by the relative (two written and one verbal – documented in progress notes) for three of the five dementia care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resuscitation status section of the advance directive form is appropriately signed.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to record corrective actions when these are identified.  In 2020, there was limited completion of audits.  Audits are now being completed as per schedule and clinical indicators are monitored, however corrective actions are not always identified when issues are raised.  The number of urinary tract infections increased between February and May 2021 for example, however a corrective action plan was not documented.  Pressure injuries were recorded with a corrective action plan documented by the acting village manager, however there was no record of monitoring of progress.  Skin tears increased; however a corrective action plan was not documented.  There was limited evidence of resolution of issues documented when issues were identified in meeting minutes.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Corrective action plans are not usually documented when issues are raised in audits or in meetings. </w:t>
            </w:r>
          </w:p>
          <w:p w:rsidR="00EB7645" w:rsidRPr="00BE00C7" w:rsidP="00BE00C7">
            <w:pPr>
              <w:pStyle w:val="OutcomeDescription"/>
              <w:spacing w:before="120" w:after="120"/>
              <w:rPr>
                <w:rFonts w:cs="Arial"/>
                <w:b w:val="0"/>
                <w:lang w:eastAsia="en-NZ"/>
              </w:rPr>
            </w:pPr>
            <w:r w:rsidRPr="00BE00C7">
              <w:rPr>
                <w:rFonts w:cs="Arial"/>
                <w:b w:val="0"/>
                <w:lang w:eastAsia="en-NZ"/>
              </w:rPr>
              <w:t>ii) There is limited evidence of resolution of issues when raised (e.g., in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corrective action plans are documented when issues are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there is resolution of issues documented (e.g., in meeting minutes) when issues are raised.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completion of performance appraisals.  Twelve of the sixteen staff records reviewed showed evidence that a performance appraisal had been completed annually.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16 staff files did not include a current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performance appraisals are completed annually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care manager and registered nurses demonstrated an understanding of the assessment, monitoring, and management plans.  Monitoring forms are used to monitor residents’ health and well-being including blood pressure and pulse, weight, blood sugar levels, behaviour, repositioning, food, and fluid intake/output.  However, monitoring was not always fully documented as required by the care plan.  Long term care plans are updated for acute changes in health such as wounds, skin tears and infections.  These had been reviewed regularly and closed off when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Nineteen incident forms were sampled where the resident had experienced an unwitnessed fall.  RN assessment was documented following the incident however, neurological observations were not completed as per policy for eight falls and only partially completed for nine falls.</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resident with a catheter did not have four hourly output monitoring as detailed in the care plan completed consistently.</w:t>
            </w:r>
          </w:p>
          <w:p w:rsidR="00EB7645" w:rsidRPr="00BE00C7" w:rsidP="00BE00C7">
            <w:pPr>
              <w:pStyle w:val="OutcomeDescription"/>
              <w:spacing w:before="120" w:after="120"/>
              <w:rPr>
                <w:rFonts w:cs="Arial"/>
                <w:b w:val="0"/>
                <w:lang w:eastAsia="en-NZ"/>
              </w:rPr>
            </w:pPr>
            <w:r w:rsidRPr="00BE00C7">
              <w:rPr>
                <w:rFonts w:cs="Arial"/>
                <w:b w:val="0"/>
                <w:lang w:eastAsia="en-NZ"/>
              </w:rPr>
              <w:t>(iii). One hospital resident did not have vital sign observations taken every 48 hours as ordered by the general practitioner and detailed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(iv). One hospital resident file sampled did not include documented interventions in sufficient detail to guide the care staff in the management of psychosis and triggers for deteriorating mental health.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(iii). Ensure resident monitoring charts are consistently and comprehensively completed as per policy and/or as detailed in their care plan. (v). Ensure interventions clearly cover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404"/>
        <w:gridCol w:w="93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residents with dementia have opinions and a right to a “voice” thus empowering them to participate in social engagement, friendships, resident led activities, meaningful and purposeful activities.  Resident meetings are held in the rest home and hospital households, however there was no meeting group for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voice” meetings were initiated, and the men’s group were involved in meaningful projects.  Both initiatives have been successful and align with the Arvida philosophy of choices and decisions for everyday life.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in the rest home and hospital households, however there was no meeting group for dementia are residents, so a project was established.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The wellness leader and activity assistant in DT training who are based in the two dementia care units trialled “resident voice” meetings through 2019-2020 which were disrupted due to Covid and have since recommenced.  Initially “resident voice” meetings were held twice a week as this enabled a ritual of frequency for residents with memory loss and providing comfort in repetition.  The meeting environment was important to ensure residents felt comfortable.  A table setting, and whiteboard was used as it provided a psychological “safety” of a barrier and helped decrease feelings of vulnerability with an open space, also the familiar memory of being on a board, committee or office worker encouraged residents to join in.  A whiteboard with a written topic was used as a visual prompt and to record responses, suggestions, and ideas, empowering them to see their comments being recognised and “seen”.  Photos and images were introduced on the whiteboard to support residents who were challenged with reading and written words.  Photos of whiteboard meetings are posted for reading by residents (as appropriate), staff and family.  Familiar rituals were created at the beginning and end of the meetings such as shaking hands and individual greeting by name at the beginning of the meeting and the end by shaking hands and thanking by name (providing a recognised structure) and finishing with an afternoon tea.  Initially a few residents would join the meeting or stop and sit for a while.  As weeks went by more residents started joining in, sitting, and focusing for longer periods and contributing and sharing in conversations.  The wellness leaders noticed friendships forming between residents, more conversation and connection between them.  Staff, family, and visitors were invited to join in.  Residents would ask “when the next meeting was” and automatically gather near to the time of the meeting.  The impact/outcome of introducing a “residents voice” meeting has had overwhelming positive effects including more meaningful relationships (resident to resident, resident to staff and vice versa), residents’ opinions, wants and requests being heard and actioned, promoting autonomy and choice, residents leading more purposeful daily activities, increasing feelings of belonging, pride, empowerment, importance and remaining engaged in their household.  Photos of whiteboard discussions and meeting attendance and environment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is a designated men’s club for the dementia units based in Goddard unit.  The men’s club is held weekly and coordinated by the Restorative therapist/wellness leader and a volunteer carpenter.  The attendance varies (at least eight men) and includes men from the Ashcroft unit.  Activities are related to past interests and activities and include outings and building projects.  Projects are meaningful and have a purpose and have included painting concrete pots for the gardens, making a bench seat for the courtyard, de-mossing chairs, putting together the kitset tool shed, refurbishment of beside tables for use in other units, built the café sign for the Riverstone café.  The men contribute to the three-monthly facility theme by making decorations such as for the French day the men built the Eiffel Tower that was displayed.  The men have made items for raffles such as tool boxes and towel rails (designed by resident).  These weekly workshops give the men a sense of purpose and achievement.  The men’s club now begins with a self-service morning tea with the men finishing with doing the dishes.  Photo albums of the men’s club were viewed.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Mary Doyle Healthcare Limited - Mary Doyle Lifecare</w:t>
    </w:r>
    <w:bookmarkEnd w:id="58"/>
    <w:r>
      <w:rPr>
        <w:rFonts w:cs="Arial"/>
        <w:sz w:val="16"/>
        <w:szCs w:val="20"/>
      </w:rPr>
      <w:tab/>
      <w:t xml:space="preserve">Date of Audit: </w:t>
    </w:r>
    <w:bookmarkStart w:id="59" w:name="AuditStartDate1"/>
    <w:r>
      <w:rPr>
        <w:rFonts w:cs="Arial"/>
        <w:sz w:val="16"/>
        <w:szCs w:val="20"/>
      </w:rPr>
      <w:t>10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