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Kingswood Healthcare Matamata Limited - Kingswood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Kingswood Healthcare Matamata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Kingswood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July 2021</w:t>
      </w:r>
      <w:bookmarkEnd w:id="7"/>
      <w:r w:rsidRPr="009418D4">
        <w:rPr>
          <w:rFonts w:cs="Arial"/>
        </w:rPr>
        <w:tab/>
        <w:t xml:space="preserve">End date: </w:t>
      </w:r>
      <w:bookmarkStart w:id="8" w:name="AuditEndDate"/>
      <w:r w:rsidR="00A4268A">
        <w:rPr>
          <w:rFonts w:cs="Arial"/>
        </w:rPr>
        <w:t>13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Kingswood Rest Home is one of two facilities owned by Kingswood Healthcare Limited and provides rest home and secure dementia level care for up to 41 residents. There were 38 residents receiving care on the day of the audit.</w:t>
      </w:r>
    </w:p>
    <w:p w:rsidRPr="00A4268A">
      <w:pPr>
        <w:spacing w:before="240" w:line="276" w:lineRule="auto"/>
        <w:rPr>
          <w:rFonts w:eastAsia="Calibri"/>
        </w:rPr>
      </w:pPr>
      <w:r w:rsidRPr="00A4268A">
        <w:rPr>
          <w:rFonts w:eastAsia="Calibri"/>
        </w:rPr>
        <w:t>This surveillance audit was conducted against the Health and Disability Services Standards and the providers’ contract with the district health board. The audit process included the review of policies and procedures, a review of residents’ and staff records, observations and interviews with residents, family, the general manager, staff and the general practitioner. Feedback from residents and family was positive about the care and services provided.</w:t>
      </w:r>
    </w:p>
    <w:p w:rsidRPr="00A4268A">
      <w:pPr>
        <w:spacing w:before="240" w:line="276" w:lineRule="auto"/>
        <w:rPr>
          <w:rFonts w:eastAsia="Calibri"/>
        </w:rPr>
      </w:pPr>
      <w:r w:rsidRPr="00A4268A">
        <w:rPr>
          <w:rFonts w:eastAsia="Calibri"/>
        </w:rPr>
        <w:t xml:space="preserve">There were no areas requiring improvements from the previous audit. There are two new areas identified for improvement from this audit relating to medication management and the evaluating of PRN medicines if administered and the food service in respect of the menu plans not being reviewed within the last two years.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demonstrates that residents and/or families have a right to frank information and open disclosure and this is met. Independent interpreter services are accessible if and when required.</w:t>
      </w:r>
    </w:p>
    <w:p w:rsidRPr="00A4268A">
      <w:pPr>
        <w:spacing w:before="240" w:line="276" w:lineRule="auto"/>
        <w:rPr>
          <w:rFonts w:eastAsia="Calibri"/>
        </w:rPr>
      </w:pPr>
      <w:r w:rsidRPr="00A4268A">
        <w:rPr>
          <w:rFonts w:eastAsia="Calibri"/>
        </w:rPr>
        <w:t>Complaints management is documented. The policy meets the requirements of right 10 of the Code. There are no complaints that remain open. The register is maintained by the general manager.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organisation’s philosophy, mission and vision statements are identified. The facility is managed by an experienced general manager who reports regularly to the governing body. The general manager is assisted by a clinical manager and an administrator.</w:t>
      </w:r>
    </w:p>
    <w:p w:rsidRPr="00A4268A">
      <w:pPr>
        <w:spacing w:before="240" w:line="276" w:lineRule="auto"/>
        <w:rPr>
          <w:rFonts w:eastAsia="Calibri"/>
        </w:rPr>
      </w:pPr>
      <w:r w:rsidRPr="00A4268A">
        <w:rPr>
          <w:rFonts w:eastAsia="Calibri"/>
        </w:rPr>
        <w:t xml:space="preserve">The quality and risk system and processes support continuous improvement of service provision. Policies and procedures are reviewed and any obsolete documents are removed from the system. A contracted quality consultant is available for advice if needed. The quality management system includes an internal audit programme, complaints/compliments, incident reporting, resident satisfaction surveys, restraint minimisation and safe practice and infection prevention and control. Benchmarking occurs. </w:t>
      </w:r>
    </w:p>
    <w:p w:rsidRPr="00A4268A">
      <w:pPr>
        <w:spacing w:before="240" w:line="276" w:lineRule="auto"/>
        <w:rPr>
          <w:rFonts w:eastAsia="Calibri"/>
        </w:rPr>
      </w:pPr>
      <w:r w:rsidRPr="00A4268A">
        <w:rPr>
          <w:rFonts w:eastAsia="Calibri"/>
        </w:rPr>
        <w:t>Quality and risk activities and results are shared with the governing body monthly and results are fed back to residents, staff and families as appropriate. Corrective action planning is documented.</w:t>
      </w:r>
    </w:p>
    <w:p w:rsidRPr="00A4268A">
      <w:pPr>
        <w:spacing w:before="240" w:line="276" w:lineRule="auto"/>
        <w:rPr>
          <w:rFonts w:eastAsia="Calibri"/>
        </w:rPr>
      </w:pPr>
      <w:r w:rsidRPr="00A4268A">
        <w:rPr>
          <w:rFonts w:eastAsia="Calibri"/>
        </w:rPr>
        <w:t>All new staff receive orientation appropriate to the role. Ongoing education is encouraged and provided. Health professionals employed and contracted have their annual practising certificates verified annually. The service has adequate staff to meet the needs of residents and to meet their obligations of the aged residential care DHB contract. Residents and families were pleased with the care provided.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and general practitioners assess residents’ needs on admission and regularly thereafter as required. Care plans are individualised, based on a comprehensive range of information and accommodate any new problems that might arise. Files reviewed demonstrated that the care provided and needs of residents are reviewed and evaluated on a regular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Apart from one aspect of medicine management, the medication is safely managed with processes in place to guide staff in safe medicine management.</w:t>
      </w:r>
    </w:p>
    <w:p w:rsidRPr="00A4268A" w:rsidP="00621629">
      <w:pPr>
        <w:spacing w:before="240" w:line="276" w:lineRule="auto"/>
        <w:rPr>
          <w:rFonts w:eastAsia="Calibri"/>
        </w:rPr>
      </w:pPr>
      <w:r w:rsidRPr="00A4268A">
        <w:rPr>
          <w:rFonts w:eastAsia="Calibri"/>
        </w:rPr>
        <w:t>The food is prepared offsite with special needs catered for. Food is safely managed, and snacks and drinks are available on a 24-hourly basis. Residents confirmed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has a current building warrant of fitness which is displayed at the entrance to the facility.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a restraint free philosophy and safe use of enablers. No enablers and no restraints were in use at the time of audit. Staff clearly understood restraint and enabler processes if required.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surveillance undertaken is appropriate for the size of the facility. Infection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Complaint and compliment forms are on display by the entrances to the facility in both the rest home and dementia service. Review of the complaints register confirmed three complaints have been received in the last year. All of these have been acknowledged in writing.  Investigated and where possible agreement and resolution between the parties has been reached within acceptable timeframes. Families interviewed reported that they are encouraged to provide feedback or make a complaint. The complaints process is audited as part of the internal audit system.</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received more compliments in the past year than complaints. There have been no complaints from external agencies such as the Ministry of Health (MoH), New Zealand Police/Coroners cases or Health and Disability Commissioners (HDC)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families/representatives stated that they were kept well informed about any changes to their own or their relative’s health status, were advised in a timely manner about any incidents or accidents and any outcomes of regular and any urgent medical reviews. This was supported in residents’ records reviewed. There was also evidence of resident/family input into the care planning review process and multidisciplinary review meetings. Staff interviewed understood the principles of open disclosure, which is supported by policies and procedures that meet the requirements of the Code. On line education was provided and evidenced in the training records with eight staff completing the open disclosure training.</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contacted as needed through the DHB when required or through the 24 hour National Interpreter service. Contact details were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Kingswood Health Care Limited is the governing body and an overarching business plan and objectives are reviewed annually for the two facilities it owns and operates. There are personal goals for each facility. The documents reviewed and the interview with the general manager confirmed that progress against the goals are addressed at the monthly director’ meetings. The GM stated that conversations occur on a daily basis with the two directors who work off site and any issues are discussed. The GM is well supported by the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The GM, also a shareholder is responsible for the day to day operations of two facilities and the care provided at each facility. Both facilities are approximately thirty minutes from one another. The GM confirmed attending ongoing management education and has a good relationship with other aged care providers in this region and has regular contact with relevant DHB staff including the needs assessment service coordinators (NASC) team who visit the region regularly.</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38 residents on site. The service can accommodate a total of 41 residents. The service has agreements with the DHB for rest home, respite and dementia care services. Sixteen of 16 rest home beds were occupied and 22 of 25 dementia care beds were occupied.  No respite care was being provided on the day of the audit. One resident in the dementia care service was being funded separately from the DHB for the service provider to provide personal staff coverage for this resident who is awaiting placement in a higher level of care dementia service. A watch is arranged for the morning and afternoon shift and staff continue to supervise during the night shift. The resident is sleeping well on the night shift presently and if the situation changes this arrangement will be reviewed immediately as clarified by the GM.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management system that reflects the principles of continuous quality improvement. This includes the management of complaints, monthly audits and monitoring of any outcomes, resident satisfaction surveys and the reporting and collation of any incidents, pressure injuries, restraint and any known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Kingswood Healthcare Limited uses the same system for the two facilities that they own to report their data which is then collated and used for benchmarking. The two care facilities are covered by the GM who visits both homes each day. The clinical manager works three days a week at this home and two days at their other aged care facility.  The clinical manager provides a clinical report monthly which evidences the clinical indicators are addressed with the number of falls, pressure injuries (if any) restraint, infections and any wounds/skin tears sustained. Feedback is provided to staff at the monthly quality/staff meetings. Minutes of the meetings were sighted. Staff who do not attend the meeting do get to read the minutes and sign that they have done so. The GM reports to the directors monthly and also discusses occupancy or any other trends.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reported their involvement in quality and risk management strategies through internal audits, quality projects and acting in different roles such as health and safety, restraint coordinator and Infection control coordinator roles. Relevant corrective actions are developed and implementation to address any shortfalls is arranged. Resident and family satisfaction surveys were completed in January 2020 with positive feedback received. The 2021 survey has been sent out to residents/families on the 21 July 2021.</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cover all necessary aspects of the service and contractual requirements, including reference to the interRAI Long Term Care Facility (LTCF) assessment tool and process. A quality consultant is available to update any policies or procedures if legislative requirements or other changes occur. Policies were based on best practice and were current. The document control system is managed by the GM who ensures a systematic and regular review process occurs. Any obsolete documented are removed from the system and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The GM described the processes for the identification, monitoring, review and reporting of risks and development of mitigation strategies. The GM is familiar with the Health and Safety at Work Act (2015) and has implemented the requirements. The risk register was updated May 2021 by the GM and is current and up-to-date.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Incidents, accidents and near misses are reported by staff and are documented on the appropriate form implemented and given to the registered nurse on duty. A sample of incident forms were reviewed and these were fully completed. Incidents were followed up and actioned as necessary in a timely manner by the registered nurse, clinical manager and/or the GM. Adverse events are collated, analysed and reported to staff at the quality and staff meeting monthly. The collated results are managed separately for the rest home and the dementia unit. A narrative summary is completed and results are compared with the previous month outcomes for each service area.</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they were kept informed about any events/issues during their shift at handover between the shifts and through the staff communication book. Review of staff meeting minutes and interviews confirmed that staff participate in discussions about incident and accidents and how to prevent these at their monthly meetings and in-service education sessions.</w:t>
            </w:r>
          </w:p>
          <w:p w:rsidR="00EB7645" w:rsidRPr="00BE00C7" w:rsidP="00BE00C7">
            <w:pPr>
              <w:pStyle w:val="OutcomeDescription"/>
              <w:spacing w:before="120" w:after="120"/>
              <w:rPr>
                <w:rFonts w:cs="Arial"/>
                <w:b w:val="0"/>
                <w:lang w:eastAsia="en-NZ"/>
              </w:rPr>
            </w:pPr>
            <w:r w:rsidRPr="00BE00C7">
              <w:rPr>
                <w:rFonts w:cs="Arial"/>
                <w:b w:val="0"/>
                <w:lang w:eastAsia="en-NZ"/>
              </w:rPr>
              <w:t>The RN, GM and administrator interviewed demonstrated an understanding and knowledge about essential notification reporting requirements. One Section 31 notice has been documented for a respiratory outbreak since the previous audit. HealthCERT and the DHB were notified July 2020 and a copy of the form is filed in the quality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system in place for validating the annual practising certificates (APCS) of all health professionals at the time of employment or when contracted to the service. The APCs are reviewed annually thereafter. A register is maintained of when APCs and competencies are due. Copies of APCs were sighted for the staff who require them and for the GP, pharmacist and podiatrist. Staff records reviewed evidenced appropriate processes are implemented for the recruitment of all new staff. Orientation is provided that includes the essential components of service delivery and health and safety obligations are also provided.</w:t>
            </w:r>
          </w:p>
          <w:p w:rsidR="00EB7645" w:rsidRPr="00BE00C7" w:rsidP="00BE00C7">
            <w:pPr>
              <w:pStyle w:val="OutcomeDescription"/>
              <w:spacing w:before="120" w:after="120"/>
              <w:rPr>
                <w:rFonts w:cs="Arial"/>
                <w:b w:val="0"/>
                <w:lang w:eastAsia="en-NZ"/>
              </w:rPr>
            </w:pPr>
            <w:r w:rsidRPr="00BE00C7">
              <w:rPr>
                <w:rFonts w:cs="Arial"/>
                <w:b w:val="0"/>
                <w:lang w:eastAsia="en-NZ"/>
              </w:rPr>
              <w:t>Staff in addition to orientation complete a “Spark of Life’ course and are required to demonstrate the philosophies of the resident centred care, as well as the Kingswood Healthcare’s philosophy. All staff who work in the dementia care service have completed the dementia unit standards. Any newer staff are now enrolled in the required training to meet the obligations of the DHB contract. Education is planned annually. The education programme is documented by month and the information is displayed. Information about the topic of education, attendance records and signing records were reviewed. Up and coming training is also discussed at the quality and staff meetings. On-line training is also an option and a package has been purchased which staff can access. All staff who administer medications have completed medication competencies for this year next due 2022. Other competencies completed include lifting, first aid and RN competencies such as Niki 34 syringe driver education, interRAI assessment competencies (two RNs and one casual nurse practitioner) maintain their interRAI competencies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policy on staffing levels and skill mix to meet the needs of residents requiring secure dementia and rest home level care. There is an RN on duty four days a week. The clinical manager is on leave presently, but the relief nurse practitioner is covering in her absence. The on-call RN roster is shared with the RN and the GM. There is GP cover for this facility 24 hours a day seven days a week. There is adequate staff on duty to cover both the dementia care service and the rest home. There are a minimum of two staff on duty in the dementia service every shift and this is applicable in the rest home. Lead care givers are rostered on every shift and they are responsible for their shifts and medication administration. Competencies are completed as per 1.2.7.5. Rosters were made available and were reviewed. All staff have completed first aid training so there is always a staff member on duty who has a first aid certificate. Staff interviewed stated that they have adequate time to do their work and team work is encouraged. Staff also assist with implementing meaningful activities for the residents during their respective shifts. Non-clinical staff cover the kitchen, cleaning and laundry services. Care staff assist with the laundry as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Kingswood Rest Home has implemented an electronic medication management system three months ago. The medication management policy was current and identified all aspects of medicine management in line with the Medicines Care Guide for Residential Aged Care and meets the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electronic system is accessed using individual passwords. The caregiver was observed administering medication correctly. They demonstrated good knowledge and had a clear understanding of their role and responsibilities related to each stage of medicine management. All staff who administer medicines had a current medication administration competency. The electronic prescribing practices included the prescriber’s name and date recorded on the commencement and discontinuation of medicines. The three-monthly medication reviews were consistently recorded on the electronic medicine charts sighted. Administered pro re nata (PRN) medicines were not consistently evaluated for effectiveness.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pre-packaged medication packs which are checked by the RNs on delivery. The medication was stored safely, and medication reconciliation is conducted by RNs when a resident is transferred back to service.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sampled were within the recommended range. There was no food stored in the medicine fridge. There were no vaccines kept on site.</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medicines at the time of the audit. Appropriate processes were in place to ensure this will be managed in a safe manner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chefs and two kitchen hands are responsible for food service. The food is prepared off site at the other facility owned by the same company and delivered to the facility every afternoon. The kitchen hands on site are responsible for reheating the food serve it. Food is transported to the respective dining rooms in baine maries. The menu in use has not been reviewed by the dietitian within the past two years.</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operates with a current food safety plan and registration issued by the local district council in May 2021. Food, fridges and chiller temperatures, including for high-risk items, are monitored appropriately, and recorded as part of the plan. The chefs have completed food safety qualifications and the kitchen hands have completed relevant food handling training. Training certificates for the chefs and food handling training records for the kitchen hands were sighted in the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Residents’ food preference assessments were completed for each resident on admission to the facility and a dietary profile developed. The personal food preferences, any special diets and modified texture requirements are made known to kitchen staff and accommodated in the daily meal plan. Nutritional supplements were provided for residents with loss of weight issues. Residents in the secure unit always have access to food and fluids to meet their nutritional needs.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interviewed residents and family/whānau expressed satisfaction with the meals provided. The food was served in the respective dining rooms and residents were offered extra servings if desired. Residents were seen to be given enough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clean. Food in the pantry were within use by dates. Completed cleaning schedules were sighted. Decanted food was covered and labelled.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interventions documented in the long-term care plans reviewed were adequate and appropriate to address residents’ assessed needs and desired outcomes. The behaviour management plans for the residents in the dementia unit included triggers and strategies to manage the behaviours that challenge. Observations and interviews with residents and family/whānau verified that care provided to residents was consistent with their needs, goals, and the plan of care. Specific clinical needs were incorporated including falls prevention strategies. Regular nursing observations and weight monitoring was completed. The GP confirmed that medical input was sought in a timely manner, and care was provided as prescribed. Adequate equipment and resources were available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(AC) was on leave on the day of the audit. A caregiver who has completed Spark of life training and the administrator who is in the process of completing diversional therapy training were providing the activities programme while the activities coordinator is on leave. The AC completes the activities assessments for all residents with input from residents and family/ whānau or EPOA. The activities in the rest home unit are overseen by a nominated caregiver and all the other caregivers can assist. A social history assessment is completed on admission to ascertain residents’ needs, interests, abilities and social requirements. A monthly activities calendar is completed and posted on the notice boards in each unit. </w:t>
            </w:r>
          </w:p>
          <w:p w:rsidR="00EB7645" w:rsidRPr="00BE00C7" w:rsidP="00BE00C7">
            <w:pPr>
              <w:pStyle w:val="OutcomeDescription"/>
              <w:spacing w:before="120" w:after="120"/>
              <w:rPr>
                <w:rFonts w:cs="Arial"/>
                <w:b w:val="0"/>
                <w:lang w:eastAsia="en-NZ"/>
              </w:rPr>
            </w:pPr>
            <w:r w:rsidRPr="00BE00C7">
              <w:rPr>
                <w:rFonts w:cs="Arial"/>
                <w:b w:val="0"/>
                <w:lang w:eastAsia="en-NZ"/>
              </w:rPr>
              <w:t>The planned activities reflected residents’ goals, ordinary patterns of life and included normal community activities. Individual, group activities and regular events are offered. Residents can participate in individual or group activities as desired. Residents were observed participating in various activities on the day of the audit. The activities on the programme include walks, birthday celebrations, external entertainment, van outings, church services, puzzles, Spark of life club and gardening.</w:t>
            </w:r>
          </w:p>
          <w:p w:rsidR="00EB7645" w:rsidRPr="00BE00C7" w:rsidP="00BE00C7">
            <w:pPr>
              <w:pStyle w:val="OutcomeDescription"/>
              <w:spacing w:before="120" w:after="120"/>
              <w:rPr>
                <w:rFonts w:cs="Arial"/>
                <w:b w:val="0"/>
                <w:lang w:eastAsia="en-NZ"/>
              </w:rPr>
            </w:pPr>
            <w:r w:rsidRPr="00BE00C7">
              <w:rPr>
                <w:rFonts w:cs="Arial"/>
                <w:b w:val="0"/>
                <w:lang w:eastAsia="en-NZ"/>
              </w:rPr>
              <w:t>Residents’ participation in activities were recorded daily and activity needs were evaluated as part of the formal six monthly interRAI and care plan review. Residents and family/ whānau interviewed confirmed satisfaction with the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in the secure dementia unit are specific to the needs and abilities of the people living with dementia. The activities coordinator who has completed diversional therapy training oversees the activities programme in the dementia unit. The activities are adapted to meet the residents’ needs and mood. The residents were observed participating actively in activities on the day of the audit and were given an opportunity and choice to participate or not. The staff were observed communicating with residents in a respectful manner during the activities session observed on the day of the audit.  Activities are offered at times when residents are most physically active and/or restless. This includes short walks in the secure garden, van outings, colouring, arts and crafts.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caregivers. The interviewed staff stated that any change is reported to the RNs. The RNs review and document in the progress notes at least weekly and more frequently when indicated as determined by the resident’s condition.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reviewed records showed that formal long-term care plan evaluations occur every six months following the six-monthly interRAI reassessments. The care plans reviewed were updated following a significant change in care. The evaluations indicated the degree of achievement or response to the interventions or support provided, and progress towards meeting the desired outcome.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consistently reviewed, and progress evaluated as clinically indicated. Short term care plans sighted were for urinary tract and wound infections. Residents and families/whānau interviewed confirmed their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which was displayed at reception, the expiry date was validated as 08 July 2022. Structural alterations have not been carried out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oral, multi-resistant organisms, COVID-19, eye, and the upper and lower respiratory tract. The infection control coordinator reviews all reported infections,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this is reported to the business care manager and clinical governance group. Recommendations to assist in infection reduction and prevention were acted upon. Infection control measures recommended by the ministry of health for the management of COVID-19 pandemic were implemented. There was no reported infection outbreak reported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and procedures for restraint minimisation and safe practice meet the restraint minimisation and safe practice standard. There were no residents using a restraint or enablers of the day of the audit. The RN and staff interviewed demonstrated excellent knowledge about restraint minimisation and safe practice and knew the difference between a restraint and an enabler. An enabler is only used in a voluntary capacity to meet the needs of the resident with the intention to promote or maintain resident safety.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3"/>
        <w:gridCol w:w="1280"/>
        <w:gridCol w:w="7467"/>
        <w:gridCol w:w="1468"/>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Current residents’ photos were uploaded into the electronic medicine management system. Allergies were documented on the electronic medication charts sighted. The administered PRN medicines were not consistently evaluated for effectiveness. The general manager reported that the electronic system was implemented three months ago, and staff have received training for use of the electronic system. The interviewed staff were aware of the need for the evaluation of PRN medicines administered. However, the evaluation of the administered PRN medicines was not evidenced on the medicine charts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out of 10 sampled medication charts did not have evidence of evaluation of the administered PRN medicines.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administered PRN medicines are consistently evaluated for effectiveness.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in use follows summer and winter patterns on a four weekly cycle and has been reviewed by a qualified dietitian in August 2018. There was no evidence of a current menu reviewed by the dietitian to verify that nutritional needs of the residents are being met. The chef reported that a new menu is in the progress of being completed and is still to be reviewed by the dietitian for the two sites owned by the same organisation.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in use was last reviewed by a dietitian in March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menu is reviewed by the dietitian regularly so that it remains current.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Kingswood Healthcare Matamata Limited - Kingswood Rest Home</w:t>
    </w:r>
    <w:bookmarkEnd w:id="58"/>
    <w:r>
      <w:rPr>
        <w:rFonts w:cs="Arial"/>
        <w:sz w:val="16"/>
        <w:szCs w:val="20"/>
      </w:rPr>
      <w:tab/>
      <w:t xml:space="preserve">Date of Audit: </w:t>
    </w:r>
    <w:bookmarkStart w:id="59" w:name="AuditStartDate1"/>
    <w:r>
      <w:rPr>
        <w:rFonts w:cs="Arial"/>
        <w:sz w:val="16"/>
        <w:szCs w:val="20"/>
      </w:rPr>
      <w:t>13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