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Sunrise Healthcare Limited - West Harbour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Sunrise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West Harbour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June 2021</w:t>
      </w:r>
      <w:bookmarkEnd w:id="7"/>
      <w:r w:rsidRPr="009418D4">
        <w:rPr>
          <w:rFonts w:cs="Arial"/>
        </w:rPr>
        <w:tab/>
        <w:t xml:space="preserve">End date: </w:t>
      </w:r>
      <w:bookmarkStart w:id="8" w:name="AuditEndDate"/>
      <w:r w:rsidR="00A4268A">
        <w:rPr>
          <w:rFonts w:cs="Arial"/>
        </w:rPr>
        <w:t>17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West Harbour Gardens rest home and hospital is one of three facilities owned by Sunrise Healthcare.  The facility provides rest home, dementia, and hospital level of care for up to 74 residents including younger people with disabilities.  On the day of the audit there were 71 residents. </w:t>
      </w:r>
    </w:p>
    <w:p w:rsidRPr="00A4268A">
      <w:pPr>
        <w:spacing w:before="240" w:line="276" w:lineRule="auto"/>
        <w:rPr>
          <w:rFonts w:eastAsia="Calibri"/>
        </w:rPr>
      </w:pPr>
      <w:r w:rsidRPr="00A4268A">
        <w:rPr>
          <w:rFonts w:eastAsia="Calibri"/>
        </w:rPr>
        <w:t xml:space="preserve">A facility manager is responsible for the daily operations of the service and they are supported by a clinical manager.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This certification audit identified areas for improvement around the following: advocacy services, the quality improvement programme, orientation programme, staffing, an integrated file for each resident, interventions described in care plans, the activities programme, dating of eye ointments, safety for residents who smoke, and cleanliness of the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(HDC)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facility manager (non-clinical) and clinical manager are responsible for day-to-day operations.  The clinical manager is supported by a clinical coordinator.  Goals are documented for the service with evidence of regular reviews.  A quality and risk management programme is established.  Data collected is collected and analysed.  </w:t>
      </w:r>
    </w:p>
    <w:p w:rsidRPr="00A4268A">
      <w:pPr>
        <w:spacing w:before="240" w:line="276" w:lineRule="auto"/>
        <w:rPr>
          <w:rFonts w:eastAsia="Calibri"/>
        </w:rPr>
      </w:pPr>
      <w:r w:rsidRPr="00A4268A">
        <w:rPr>
          <w:rFonts w:eastAsia="Calibri"/>
        </w:rPr>
        <w:t>Residents receive appropriate services from suitably qualified staff.  Staff sign an employment agreement and job description prior to commencing employment.  An orientation programme is established.  The education and training plan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and plans residents' needs, outcomes, and goals with the resident and/or family/whānau input.  Care plans viewed in resident records are reviewed at least six-monthly.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some senior caregivers are responsible for the administration of medicines and complete annual education and medication competencies.  The medicine charts reviewed meet prescribing requirements and were reviewed at least three-monthly.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residents.  The programme includes community visitors and outings, entertainment and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access to communal facilities.  There is an emergency management plan in place and adequate civil defence supplies in the event of an emergency.  There is an approved evacuation scheme and emergency supplies for at least three days.  There is at least one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A restraint register is maintained.  During the audit three residents were using a restraint and six residents were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(clinical manager) is responsible for coordinating education and training for staff.  The infection control coordinator has completed online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33"/>
        <w:gridCol w:w="1280"/>
        <w:gridCol w:w="89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 Harbour Gardens Residential Care policies and procedures are mostly being implemented that align with the requirements of the Code of Health and Disability Services Consumers’ Rights (the Code) (link 1.1.11.1).  Families and residents are provided with information on admission, which includes information about the Code.  Staff receive training about resident rights at orientation and as part of the in-service programme (link 1.2.7.5).  Interviews with staff (five caregivers, five registered nurses (RNs), and one clinical coordinator, one diversional therapist, one cook, one laundry, one cleaner, one maintenance staff) and managers (facility manager, general manager (director) and one clinical manager) confirmed their understanding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nine of nine resident files reviewed (three rest home, four hospital and two dementia).  Resuscitation status and advance directives were appropriately signed.  Medically indicated not for resuscitation status (as applicable) were in place for residents deemed unable to make an informed choice.  Copies of the enduring power of attorney (EPOA) were present and activated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  All resident’s files reviewed had signed admission agreements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are aware of their right to access someone to help them to process a complaint, however they were not sure of the independent advocacy services available to them.  Discussions with relatives confirmed the service provided opportunities for the family/EPOA to be involved in decisions.  The resident files sampled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The service is responsive to young people with disabilities accessing the community, resources, facilities, and mainstream supports such as education, public transport, and primary health services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complaints received, dates and actions taken.  The facility manager or clinical manager signs off each complaint when it is closed.  There is evidence of lodged complaints being discussed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complaints were received in 2020 and seven have been received in 2021 to date.  Four internal complaints were reviewed, and all were responded to in timeframes as per the Code and the service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DHB requested follow up against aspects of three complaints (one lodged with the Health and Disability Commission and two lodged with the DHB).  The audit did not substantiate issues identified around GP hours, timeliness of service delivery, or laundry services.  The audit did substantiate issues identified around orientation of staff (link 1.2.7.4), staffing issues (link 1.2.8.1), cleanliness (link 1.4.6.2), and physiotherapy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There is the opportunity to discuss aspects of the Code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residents including three residents requiring rest home level of care and seven residents requiring hospital level of care (including one under a long--term service – chronic health conditions (LTS-CHC) contract, one ACC funded, and one young person with a disability [YPD]) were interviewed.  Five family members (one with family at rest home level of care, two with family in the dementia unit, and two requiring hospital care) were interviewed.  They all confirmed that information had been provided to them around the Code.  </w:t>
            </w:r>
          </w:p>
          <w:p w:rsidR="00EB7645" w:rsidRPr="00BE00C7" w:rsidP="00BE00C7">
            <w:pPr>
              <w:pStyle w:val="OutcomeDescription"/>
              <w:spacing w:before="120" w:after="120"/>
              <w:rPr>
                <w:rFonts w:cs="Arial"/>
                <w:b w:val="0"/>
                <w:lang w:eastAsia="en-NZ"/>
              </w:rPr>
            </w:pPr>
            <w:r w:rsidRPr="00BE00C7">
              <w:rPr>
                <w:rFonts w:cs="Arial"/>
                <w:b w:val="0"/>
                <w:lang w:eastAsia="en-NZ"/>
              </w:rPr>
              <w:t>Large print posters of the Code are displayed throughout the facility.  Managers stated that the clinical manager or RN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During the audit, staff were observed to be respectful of residents’ privacy by knocking on doors prior to entering resident rooms.  Young people with disabilities are able to maintain their personal, gender, cultural, religious, and spiritual identity, evidenced in all three files reviewed of residents who were young persons with a disability (one intellectual disability, one physical disability, one long-term chronic condition).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definitions around abuse and neglect that aligned with policy.  Residents and relatives interviewed confirmed that staff treat residents with respect (link 1.1.4.1).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 most cases noting that three of the 10 residents had concerns around most areas of the service.  Interviews with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references local Māori health care providers and provides recognition of Māori values and beliefs.  Family/whānau involvement is encouraged in assessment and care planning and visiting is encouraged.  Links are established with disability and other community representative groups as requested by the resident/family.  Cultural needs are addressed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no residents who identified as Māori living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beliefs or values are discussed and incorporated into the care plan, evidenced in nine care plans reviewed.  Six monthly care plan reviews assess if needs are being met.  Family is invited to attend.  Discussions with relatives confirmed that residents’ values and beliefs are considered.  Residents interviewed confirmed that staff consider their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YPD are seen as having their own culture and cultural needs and preferences.  The service caters for this group of residents through focused activities, and encouragement around maintaining independence.  Residents who identified as young people stated that they were able to come and go as they pleased with activities available if they wished to participate.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RNs supervise staff to ensure professional practice is maintained in the service.  The abuse and neglect processes cover harassment and exploitation.  All residents interviewed reported that the staff respect them.  Job descriptions include responsibilities of the position, ethics, advocacy, and legal issues.  The orientation and employee agreement provided to staff on induction includes standards of conduct.  Interviews with caregivers confirmed their understanding of professional boundaries, including the boundaries of the caregiver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reconfirmed through education and training sessions and staff meetings, and the facility manager stated that there would be performance management if there was an infringement from a staff member.  Caregivers are trained to provide a supportive relationship based on sense of trust, security, and self-esteem.  Interviews with care staff confirmed that they understood how to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Policies and procedures are aligned with current accepted best practice.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on site 24 hours a day.  A house GP visits the facility two days a week.  The general practitioner (GP) reviews residents identified as stable every three months, with more frequent visits for those residents whose condition is not deemed stable.  The GP interviewed confirmed that they were satisfied with the care provided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visits from the mental health team and nurse specialist visits.  Physiotherapy services are provided on site two and a half hours per week by an employed physiotherapist with a contracted physiotherapist also providing at least another three hours monthly.  There is a physiotherapist assistant who works five days a week to support residents to keep active and to complete tasks expected to be identified by the physiotherapist.   All new residents are assessed by the physiotherapist.  Transfer plans are developed and posted in each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  Activities staff lead group activities and also provide one-on-one visits with residents, in particular the younger residents.  Young persons are encouraged and supported to remain active in their communities.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collected and collated.  Action plans are implemented to minimise risk and processes are reviewed and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21 adverse events reviewed indicated that family are kept informed.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family/resident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Families and staff are utilised in the first instance.  A range of communication methods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 Harbour Gardens provides care for up to 74 residents.  This is one of four aged care facilities owned and managed by Sunrise Healthcare.  The service is certified to provide hospital (medical, geriatric), dementia, and rest home level care.  The service is also certified to provide care for residents identified as under the following levels of care: residential disability services – intellectual and physical.  All resident rooms apart from those in the dementia unit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71 residents.  This included 18 residents at rest home level of care (including one long term service – chronic health conditions [LTS-CHC]), 42 residents requiring hospital level care (two using respite services, one ACC funded, 12 YPD, three LTS-CHC), and 11 in the dementia unit (noting that this is an 11-bed unit).  One resident is under a mental health contract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2021 business plan is documented for the service.  The quality and risk management plan identifies a vision, mission, and objectives with anticipated outcomes.  Business goals and quality/risk objectives are reviewed quarterly as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(non-clinical) has been in the role for the past five weeks.  He completed one week of orientation with the owners of the facility.  He is supported by a full-time clinical manager/RN and a clinical coordinator/RN.  He has previous experience in various management roles both in the public and private sectors and has a Bachelor of Commerce.  On interview it was confirmed that the facility manager clearly understands his role and his boundaries as a non-clinical facility manager.  He refers all clinical matters to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a registered nurse who has worked in aged care for three years and has been employed at West Harbour Gardens for 16 months.  He has been in his role as a clinical manager for the past eight months.  The clinical manager has maintained a minimum of eight hours of professional development relating to his role.  The owners and facility manager are aware of the facility manager’s professional development obligations in relation to the aged residential care contract with the DHB. </w:t>
            </w:r>
          </w:p>
          <w:p w:rsidR="00EB7645" w:rsidRPr="00BE00C7" w:rsidP="00BE00C7">
            <w:pPr>
              <w:pStyle w:val="OutcomeDescription"/>
              <w:spacing w:before="120" w:after="120"/>
              <w:rPr>
                <w:rFonts w:cs="Arial"/>
                <w:b w:val="0"/>
                <w:lang w:eastAsia="en-NZ"/>
              </w:rPr>
            </w:pPr>
            <w:r w:rsidRPr="00BE00C7">
              <w:rPr>
                <w:rFonts w:cs="Arial"/>
                <w:b w:val="0"/>
                <w:lang w:eastAsia="en-NZ"/>
              </w:rPr>
              <w:t>Section 31 reports were completed to inform the Ministry of Health of the facility and clinical managers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owners/directors are responsible for operational management in the absence of the facility manager.  A clinical coordinator/RN covers all clinical responsibilities in the absence of the clinical manager.  The clinical coordinator has 18 months experience in aged care and has been in the position since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established with gaps identified around communicating results to staff and providing evidence to support the implementation of corrective actions.  The service has policies and procedures and associated implementation systems, adhering to relevant standards - including those standards relating to the Health and Disability Services (Safety) Act 2001.  The service's policies were last reviewed in May 2020.  Work remains underway to update policies that were implemented prior to the purchase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have input into quality improvements to the service with examples provided.  Satisfaction with choices, decision making, access to technology, aids equipment and services contribute to quality data collected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are held each month, led by activities staff.  Minutes are maintained and there is evidence to indicate that residents’ issues that are brought forth are addressed.  Annual resident satisfaction surveys were last completed in 2020 with plans to complete another survey in the near future.  The 2020 survey results have been collated.  Areas for improvement were highlighted in the 2020 results but there was no evidence to indicate that these corrective actions were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designed to monitor compliance.  The facility has implemented processes to collect, analyse and evaluate data, which is utilised for service improvements.  Results are communicated to RNs in the clinical meetings, but data tabled for discussion was missing in staff meetings.  Internal audit results indicated high compliance with no indication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a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One serious staff injury that occurred in May 2021 resulted in this being reported to Work Safe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sensor mats, and intentional rounding.  A physiotherapist is on the falls committee along with the clinical manager, RN, two caregivers and one housekeeper.  Strategies implemented to reduce falls include regular toileting, intentional rounding, sensor mats, and ensuring calls bells are always accessible to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clinical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21 accident/incident forms identified that forms are fully completed and include follow-up by a registered nurse.  Accident/incident forms are completed when a pressure injury is identified.  Neurological observations are recorded for any suspected injury to the head or for an unwitnessed fall (a review of six unwitnessed falls confirmed that this occurred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was able to identify situations that would be reported to statutory authorities including (but not limited to) infectious diseases, serious accidents, and unexpected death.  There was evidence of three Section 31 reports completed over the past year (new facility manager and clinical manager, one pressure injury, one police investigation for a resident who absconded).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cover recruitment, selection, orientation and staff training and development.  Eight staff files reviewed (two RNs, four caregivers, two kitchen assistants) included a recruitment process (interview process, reference checking, police check) signed employment contracts, and signed job descriptions.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is established to provide new staff with relevant information for safe work practice but is lacking documented evidence of this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The education focused on young people with either ID or PD as part of the scenarios and training.  Training is completed either via in-services, tool box talks and online.  There is a staff register for each training session that indicates staff have completed a minimum of eight hours of education per annum.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up-to date in all staff files reviewed of staff who had been employed for one year or longer.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Five of nine registered nurses have completed their interRAI training.  There are implemented competencies for registered nurses including (but not limited to) medication, syringe driver, wound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Seven caregivers work in the dementia wing.  Six have completed their dementia qualification and the remaining staff has been working in the dementia unit for less than 18 months and are enrolled in the dementia Careerforce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 facility manager and clinical manager/RN are rostered five days a week (Monday – Friday) and are supported by a clinical coordinator/RN who is rostered Tuesday – Saturday.  The clinical manager and clinical coordinator share on-call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 dementia wing (Manuka) (11 residents) is overseen by the clinical coordinator (Tuesday – Saturday) and a senior caregiver on Sundays.  Two caregivers cover the AM shift (long shifts), and two caregivers cover the PM shifts (long shifts).  Nights are staffed with one caregiver.</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remaining wings (Rata, Kowhai and Ngaio).  The highest level of care is in Kowhai with 22 hospital level (including seven YPD) and two rest home level residents.  Kowhai is staffed with one RN on the AM and PM shifts.  Four caregivers (two long shifts and two short shifts (0700-1300) cover the AM shifts and three caregivers (two long shifts and one short shift (1500-2100) cover the PM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(12 hospital including two YPD, and 12 rest home) and Ngaio (8 hospital including three YPD, and 4 rest home) is staffed with one RN on the AM and PM shifts.  Three caregivers (two long shift and one short shift (0700-1300)) cover the AM shift, the PM shift is covered with two caregivers (one long shift and one short shift (1500 - 2100).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for these three wings is staffed with one RN and three caregivers (one for each wing).  </w:t>
            </w:r>
          </w:p>
          <w:p w:rsidR="00EB7645" w:rsidRPr="00BE00C7" w:rsidP="00BE00C7">
            <w:pPr>
              <w:pStyle w:val="OutcomeDescription"/>
              <w:spacing w:before="120" w:after="120"/>
              <w:rPr>
                <w:rFonts w:cs="Arial"/>
                <w:b w:val="0"/>
                <w:lang w:eastAsia="en-NZ"/>
              </w:rPr>
            </w:pPr>
            <w:r w:rsidRPr="00BE00C7">
              <w:rPr>
                <w:rFonts w:cs="Arial"/>
                <w:b w:val="0"/>
                <w:lang w:eastAsia="en-NZ"/>
              </w:rPr>
              <w:t>As per interview with the facility manager and clinical manager, staffing shortages are the result of the inability to cover staff absences (e.g., staff either giving late notice or are not showing up for work).  Agency staffing is not being utilised.  The facility manager also reported that five new staff have been employed in the past month (one kitchen assistant, one housekeeper and four caregivers).</w:t>
            </w:r>
          </w:p>
          <w:p w:rsidR="00EB7645" w:rsidRPr="00BE00C7" w:rsidP="00BE00C7">
            <w:pPr>
              <w:pStyle w:val="OutcomeDescription"/>
              <w:spacing w:before="120" w:after="120"/>
              <w:rPr>
                <w:rFonts w:cs="Arial"/>
                <w:b w:val="0"/>
                <w:lang w:eastAsia="en-NZ"/>
              </w:rPr>
            </w:pPr>
            <w:r w:rsidRPr="00BE00C7">
              <w:rPr>
                <w:rFonts w:cs="Arial"/>
                <w:b w:val="0"/>
                <w:lang w:eastAsia="en-NZ"/>
              </w:rPr>
              <w:t>A selection of staff, residents and families interviewed indicated that staffing levels are not adequate.  This is known to the facility manager and is being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caregiver or nurse, including designation.  Information is recorded electronically on a patient management system with other information documented in hard copy in a variety of places.  Archived residents’ files are stored securely.  Electronic information is backed up using cloud-based technology.  All computers are individually password protected.  Each resident does not have an integrated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are provided for families and residents prior to admission.  Admission agreements of long-term residents were reviewed and align with all contractual requirements.  The respite care residents had signed a short-stay agreement.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electronic medication administration system.  Two medication rooms were checked at the audit.  There are policies and procedures in place for safe medicine management that meet legislative requirements.  Registered nurses have been assessed for medication competency on an annual basis.  Caregivers’ complete competency assessments for the checking of medications.  Education around safe medication administration has been provided.  Staff were observed to be safely administering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robotic rolls, and these are checked on delivery against the medication charts.  Standing orders are not used.  Vaccines are not stored on site.  There are no residents who self-administer medication.  The medication fridge is monitored daily with temperatures within normal range.  Stock drugs are checked monthly with an impress list in place.  All medications are stored safely.  Eye drops were not always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18 medication charts reviewed (four rest home and ten hospital level of care, and four dementia unit) met legislative prescribing requirements.  The GP has reviewed the medication charts three monthly.  All medications had been administered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prepared and cooked on site by a qualified cook, who is supported by morning and afternoon kitchenhands.  There is a four-weekly menu which has been reviewed by a dietitian September 2019.  The main kitchen is adjacent to the main dining room and meals are served from the bain marie directly to the residents in the dining room.  Meals are plated and covered with insulated lids and delivered to the smaller dining room.  Dietary needs are known with individual likes and dislikes accommodated.  Dietary requirements (diabetic desserts and lactose free diets), cultural and religious food preferences are met.  Additional or modified foods are also provided by the service.  Staff were observed assisting residents with their meals and drinks.</w:t>
            </w:r>
          </w:p>
          <w:p w:rsidR="00EB7645" w:rsidRPr="00BE00C7" w:rsidP="00BE00C7">
            <w:pPr>
              <w:pStyle w:val="OutcomeDescription"/>
              <w:spacing w:before="120" w:after="120"/>
              <w:rPr>
                <w:rFonts w:cs="Arial"/>
                <w:b w:val="0"/>
                <w:lang w:eastAsia="en-NZ"/>
              </w:rPr>
            </w:pPr>
            <w:r w:rsidRPr="00BE00C7">
              <w:rPr>
                <w:rFonts w:cs="Arial"/>
                <w:b w:val="0"/>
                <w:lang w:eastAsia="en-NZ"/>
              </w:rPr>
              <w:t>Fridge, chiller, and freezer temperatures are taken and recorded daily with all temperatures reviewed in normal range.  End-cooked food temperatures are recorded.  Inward chilled goods have temperatures checked on delivery.  Cleaning schedules are maintained.  Chemicals are stored safely.  Kitchen staff were observed to be wearing correct personal protective clothing.  The food control plan expires on the 1 November 2021.  Food services staff have completed training in food safety 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Snacks are available 24-hours a day with food kept in the dementia unit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Of the ten residents and five family members interviewed, four residents and two family members interviewed stated that the food was ‘terrible’.  All others praised the food and were observed to enjoy the food on the day of audit.  The issues around the food service have already been identified in a satisfaction survey (link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and pressure injury risk assessments.  Initial interRAI assessments had been completed for all residents except for those using respite care or identified as under a CHS-CHC contract.  Resident needs and supports were identified through the ongoing assessment process in consultation with significant others.  The long-term care plans in place reflect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(electronic), identified support needs as assessed and included resident goals.  However, interventions were not always fully documented for all assessed needs.  Care plans evidenced resident (as appropriate) and family involvement in the care plan process.  Relatives interviewed confirmed they were involved in the care planning process.  Resident files do not all demonstrate service integration (link 1.2.9.10).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and dietitian.   </w:t>
            </w:r>
          </w:p>
          <w:p w:rsidR="00EB7645" w:rsidRPr="00BE00C7" w:rsidP="00BE00C7">
            <w:pPr>
              <w:pStyle w:val="OutcomeDescription"/>
              <w:spacing w:before="120" w:after="120"/>
              <w:rPr>
                <w:rFonts w:cs="Arial"/>
                <w:b w:val="0"/>
                <w:lang w:eastAsia="en-NZ"/>
              </w:rPr>
            </w:pPr>
            <w:r w:rsidRPr="00BE00C7">
              <w:rPr>
                <w:rFonts w:cs="Arial"/>
                <w:b w:val="0"/>
                <w:lang w:eastAsia="en-NZ"/>
              </w:rPr>
              <w:t>The care plans for the younger persons reflected the resident’s individual physical and emotional supports required to maintain their wellbeing.  There was evidence of allied health professional involvement in the resident’s care such as physiotherapist, dietitian, community teams and ACC engagement.  An initial assessment and initial care plan had been completed for the respite care resident and for a resident under LTS-CHC funding.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dietitian,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progress notes of the resident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assessments, treatment and evaluations were in place for all current wounds.  There were 13 skin tears, four venous ulcers, three wounds, one scratch, two fungal infections, one graze, two blisters, two pressure injuries (one stage one and one stage two), one ulceration due to cellulitis and one nail that had partially come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pressure injury prevention equipment readily available and in use.  All residents had an assessment for risk of pressure injuries on admission and at six monthly intervals.  The two hourly turns were sighted as being completed for residents who required this.  There are residents of higher acuity such as paraplegic and some reported to be non-compliant with PI interventions.  Chronic wounds have been linked to the long-term care plan.  There was evidence of wound nurse specialist involvement in the management of wounds.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restraint, and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 care needs (on the electronic resident system)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were not always well detailed in each resident file reviewed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registered diversional therapist (DT) who provides the activity programme.  She works 75 hours a fortnight and has been at the service for three years with two and a half years’ experience at a different service.  The DT was on leave during the audit and no cover had been organised for her.  </w:t>
            </w:r>
          </w:p>
          <w:p w:rsidR="00EB7645" w:rsidRPr="00BE00C7" w:rsidP="00BE00C7">
            <w:pPr>
              <w:pStyle w:val="OutcomeDescription"/>
              <w:spacing w:before="120" w:after="120"/>
              <w:rPr>
                <w:rFonts w:cs="Arial"/>
                <w:b w:val="0"/>
                <w:lang w:eastAsia="en-NZ"/>
              </w:rPr>
            </w:pPr>
            <w:r w:rsidRPr="00BE00C7">
              <w:rPr>
                <w:rFonts w:cs="Arial"/>
                <w:b w:val="0"/>
                <w:lang w:eastAsia="en-NZ"/>
              </w:rPr>
              <w:t>The DT provides individual and group activities in all areas of the rest home and hospital to meet the recreational preferences of the resident groups.  The programme includes news group, exercises, walking groups, ball therapy, board games, arts and crafts, sensory activities, word games, cooking, knitting club and walking groups.  Community visitors include churches, inter-home visits, pet therapy, entertainers, haka groups.  There are weekly outings in the van.  The van drivers and activity team hold current first aid certificates.  Residents enjoy scenic drives to the beaches and outings to community cafes, RSA and other rest homes for games and competitions.  One-on-one activities such as individual walks, massage, reading, and pampering occur for residents who are unable,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appropriate to the needs, age, and culture of the residents.  The younger people are invited to attend the group activities of their interest.  The activity team make daily contact with the younger people and ensure they have their recreational needs met.  They have good family support and go out regularly with family or their support persons to community events and activities.  The DT drew up an activity plan for the young residents, but they did not want to engage in it and stated that they preferred to go out themselves or with friends.  This was confirmed by the young residents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There is a separate programme for residents in the dementia unit noting that this is mostly implemented by care staff. The programme includes walks, outings, mixing with activities in the rest home area wen ever possible and as per resident abilities.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completed on admission in consultation with the resident/family (as appropriate).  Attendance records are kept.  While goals were documented for each resident around activities, the plans did not include interventions.  Twenty-four-hour activity plans were not developed for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invited to the resident meetings.  The service also receives feedback and suggestions for the programme through surveys and one-on-one feedback from residents (as appropriate) and families.  Residents interviewed were happy with the activities offered.  The younger persons were happy with the activities they could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RN within three weeks of admission and long-term care plans developed.  The resident and/or relative and relative health professionals are involved in the evaluation process.  Long-term care plans are evaluated six-monthly.  The GP reviews residents at least three monthly or earlier if required.  Ongoing nursing evaluations occur as indicated and are documented within the electronic progress notes and acute care needs forms.  The paper-based evaluations involved members of the multidisciplinary team and residents/relatives.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Chemical bottles sighted have correct manufacturer labels.  Chemicals are stored in locked areas and safety datasheets are available.  Relevant staff have completed chemical safety training. Personal protective clothing is available for staff and seen to be worn by staff when carrying out their duties on the day of audit.  There is a designated smoking area, however there are issues relating to smoking for residents and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16 November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is the maintenance staff with contractors brought in for specific issues.  Essential contractors are available 24 hours.  The maintenance person ensures daily maintenance requests are addressed and a planned maintenance schedule is maintained.  Electrical testing is completed annually.  Annual calibration and functional checks of medical equipment is completed by an external contractor with this last completed in May 2021.  Hot water temperatures have been monitored in resident areas and are within the acceptable range.  Temperature recordings reviewed were below 45 degrees Celsius.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equipment to allow personal, rather than communal use and includes items such as walkers, wheelchairs, and hoist slings.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secure.  There is safe access to the outdoor areas.  Seating and shade are provided with a separate secure outdoor area for residents in the dementia unit.  The dementia unit outdoor area has a number of entry points and a circular path with established plants.  All external areas and decked areas are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The care staff including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There are adequate numbers of communal bathrooms/toilets in each wing.  Privacy is assured with the use of ensuites, and communal toilet facilities have a system that indicates if it is engaged or vacant.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to safely manoeuvre mobility aids and transferring equipment such as hoists in the resident bedrooms.  Bedrooms have external doors that open out onto the courtyards or outdoor areas.  Residents and families are encouraged to personalise their rooms.  This was evident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dining room where most activities take place.  There are private lounges in each wing with a computer and skype available in one of the lounges.  Seating and space are arranged to allow both individual and group activities to occur.  All furniture is safe and suitable for the residents.  Space and privacy are afforded to younger disabled persons within the service within these communal areas.  A younger person interviewed during the audit stated that they had made friends with others in the service with similar likes and they enjoyed being in wings together.  The dining areas are homely, inviting, and appropriate for the needs of the residents.  Seating and space are arranged to allow both individual and group activities to occur.  All furniture is safe and suitable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staff are rostered on seven days a week. There are two dryers and two washing machines with a clear separation of dirty and clean areas. The resident list also identified laundry that is tagged with the resident’s name etc. Residents interviewed around laundry services were overall happy with the service.  There are cleaners on duty each day.  Cleaning trolleys are well equipped with cleaning materials and colour coded equipment.  Cleaning trolleys are kept in locked areas when not in use.  The service conducts regular reviews and internal audits of cleaning services to ensure these are safe and effective.  All personal clothing and linen are laundered on site.  There is a dirty and clean area designated in the laundry area and there was adequate clean linen available on the day of audit.  Residents and family interviewed, reported satisfaction with the laundry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issues identified through observation and as reported through resident and family interviewed around cleaning.  Residents and family reported that there had been an issue with pests.  Maintenance staff stated that pest control had addressed issues raised and there was continued monitoring and management of any pests as these were identified.  Pest control services were contracted to attend the site monthly with this confirmed as being provided.  They acknowledged that there had been issues, particularly in summer.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procedures to guide staff.  The emergency plan considers the special needs of young people with disabilities in an emergency.  There is a minimum of one first aid trained staff member on every shift and during outings.  The facility has an approved fire evacuation plan.  Fire drills take place every six months with the last having taken place in February 2021.  Smoke alarms, sprinkler system and exit signs are in place.  Emergency lighting is in place which is regularly tested.  A civil defence kit is in place.  Supplies of stored water and food are held on site and are adequate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call bells were evident in resident’s rooms, lounge areas, and toilets/bathrooms noting that there were issues with weak call bell sounds in the dementia unit on the day of audit and this was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kept locked from dusk to dawn and night staff check to ensure that these remain locked overnight.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sufficient doors and external opening windows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(clinical manager) oversees infection control for the facility and is responsible for the collation of infection events.  The infection control coordinator has a defined job description.  Infection events are collated monthly and reported to the monthly clinical meeting that includes infection control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infection control programme has been reviewed and is linked to the quality system.  Infection quality goals are incorporated into the overall quality plan.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Staff and residents have commenced Covid vaccinations.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and Covid scanning and/or manual sign in is mandatory.  Residents are offered the annual influenza vaccine.  There have been no outbreaks in the previous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West Harbour Gardens.  The infection control resource nurse liaises with the infection control committee who meet three monthly and as required (more frequently during Covid lockdown).  Information is shared as part of the clinical (registered nurse)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resources and support are available through external specialists, microbiologist, GP, wound nurse and DHB when required.  The GP monitors the use of antibiotics.  Overall effectiveness of the programme is monitored by the infection control committee with external consultant oversight.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education and ensuring staff complete the online training available on the ‘care online’ internet-based education system.  Training on infection control is included in the orientation programme.  Staff have completed online infection control study in the last 12 months with a large amount of training given in 2020 during the Covid-19 pandemic.  The last training around infection control and Covid-19 was provided to staff in June 2021.  The infection control coordinator has also completed infection control audits.  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is described in the facility’s infection control manual.  The infection control coordinator collates the information obtained through surveillance to determine infection control activities and education needs in the facility.  Infection control data including trends is discussed with the clinical meetings.  Meeting minutes are available to staff.  Trends are identified, analysed and preventative measures put in place.  Results from laboratory tests are available as required.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hospital level residents using restraints (two lap belts and one chest belt with wedge) and six hospital level residents who voluntarily requested the use of an enabler (five lap belts and one bedrail -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file of a resident using an enabler was reviewed.  The resident using the enabler gave written consent for the use of the bedrails to assist them to move in bed.  The enabler was linked to the resident’s care plan and was being reviewed monthly.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clinical manager is the designated restraint coordinator.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(e.g., bed rails, lap belts, chest belt with wedge) for safety.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and/or family/whānau are evident.  Two residents’ files where restraints were in use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sighted in both residents’ files reviewed (link 1.2.9.10).  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monitoring was evidenced on the monitoring forms for the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  This register is updated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completed every month, evidenced in one resident record where restraint was used and in one enabler file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3442"/>
        <w:gridCol w:w="5542"/>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1.1.11.1</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 to an independent advocate, how to access them, and their right to have a support person/s of their choice present.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expected to be informed of the nationwide advocacy services, however those interviewed were unsure or not able to describe nationwide advocacy services.  Registered nurses stated that they informed residents and family around advocacy services.  There were no pamphlets or posters on walls advertising the nationwide advocacy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were not aware of nationwide advocacy services and information around these services was not available.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education and information to residents and family around the nationwide advocacy services.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processes in place to review data that is collected from audits, adverse events etc, however this is not always being reported to staff through relevant staff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from internal audit reports and adverse events is not being reported at the monthly staff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data collected from internal audit reports and adverse events is reported at the monthly staff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Where corrective actions are identified, there is a lack of adequate evidence to indicate that they are addressed/resolved.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2020 resident/family survey indicated that corrective actions were required to address residents’ issues.  Corrective actions identified included providing residents with a session on the code of rights, raise awareness with residents around care plans, remind staff to wear name badges, and complete a food survey.  There was a lack of evidence to indicate that these corrective actions had been implemented.  Resident meetings also identified issues with no evidence to indicate that the issues identified were addressed and communicated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actions identified reflect evidence of their implementation.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orientation programme is established but documentation does not identify this is fully implemented.  Missing is evidence to indicate that the orientation programme for staff is being completed.  New caregiver applicants that have had no experience caregiving are requested to observe caregivers for two days as volunteers before applying for a caregiver role.  If it is determined that the job is what they are interested in and the service thinks they will be a good fit then the individuals commence a five-day orientation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eight staff files selected for review were missing evidence of a completed orientation programme.  The remaining three files did have evidence of undergoing orientation, but these were not completed in their entirety.  Interviews with a selection of staff indicated that the orientation programme did not successfully prepare them for their job responsibilities.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are provided with a suitable orientation programme with evidence to support that it is being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shortages, expressed by staff, residents and family are resulting from staff not working their rostered hours.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reported that he is often unable to fill staff vacancies, that staff are calling in at short notice, or are just not showing up for work.  Three weekend days were selected for review.  One weekend day (12 June 2021) the AM was short one long and one short shift caregivers, the PM was short one (short) PM shift caregiver and the night was short one caregiver.  The next weekend selected (5 June 2021) was short one night shift caregiver.  The next weekend day selected (29 May 2021) was short one (long) shift caregiver on the AM shift, one (short) shift caregiver on the PM shift and one caregiver on the night shift.  The facility manager confirmed that this is an ongoing issue. Interviews with residents, families and staff confirmed that many days staff are working with less than adequate (rostered) staff.  Complaints regarding lengthy wait times when responding to call bells was also expressed by residents and families.  Since the draft report the service has advised, when the current facility manager started in May, there were a number of staff vacancies to fill. In June staff attendance was not good. The facility manager and management team have been working on this issue. They have since hired 19 caregivers.  Advised they continue to train staff and are managing their performance. Evidence identified recently, staff attendance has been really good. They have also arranged for the clinical manager to work from Tuesday to Saturday and nurse coordinator works from Sunday to Thursday to ensure weekend attendance improves. The facility manager has been working regular Sundays to manage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vacancies are required to be filled to ensure adequate staffing levels.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All records pertaining to individual consumer service delivery are integrated.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are not integrated.  There is information around the resident written in a number of places including additional information documented in the care plans, guidelines on the resident bedroom wall (not linking to or documented in care plans), physiotherapy assessments and interventions written in the resident’s progress notes, a summary of the shift completed at the end of each shift with information not documented necessarily in progress notes or linked to the care plan, and restraint assessments and evaluations held separately to the resident’s file.  There was some confusion from staff interviewed at times when staff were describing cares to be provided to a specific resident.  A behavioural monitoring form was kept for all residents in the dementia unit.  This formed a summary of challenging behaviour for that shift.  Again, there was a lack of an integrated record for each resident with a summary of all resident behaviour on one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wound register is kept in the nurse’s station and medication files are kept separately in the medication room with the medicines.  This is appropriate to the service being delivered.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does not have an integrated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each resident has an integrated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Eye drops and other medication that has a short shelf life when opened is expected to be dated on opening.  Not all eye drops had been dated when opened.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packets of eye drops had not been dated when opened.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packets with eye drops or other medicine with a short shelf life are dated when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(electronic), identified support needs as assessed and included resident goals.  However, interventions were not always fully documented for all assessed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were not always documented well in resident files reviewed.  Examples are as follows: file one did not include interventions to prevent a pressure injury getting worse (ACC hospital).  Catheter and bowel cares were not well documented (ACC hospital).  .  In file two, there were no interventions documented around management of seizures should they occur (the resident had a history in the past of seizures), and bowel management, while documented did not describe what to do if problems with bowel management emerged (ID YPD Hospital)  File three did not include documentation around management hyper or hypo glycaemia (LTS-CHC RH).  File four did not include clear guidelines around continence management or around shortness of breath (RH).  While there were generic guidelines around management of challenging behaviour, there was no evidence that these were individualised to each resident (dementia unit).  Oher interventions for each of the residents identified were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interventions are documented to manage challenging events or medical issues.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DT is responsible for providing the activities programme.  The DT was on leave for the week during the audit and an activities programme was not provided for during this time.  Caregivers were able to pick up some activities with residents.  Goals are documented for each resident around activities following an assessment of interests and discussion with the resident.  Interventions to progress goals were not well documented.  Twenty-four-hour activity plans were not developed for residents in the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DT was not replaced while on leave and the programme was not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An activities plan is not well documented for each resident with interventions identified to meet goals. </w:t>
            </w:r>
          </w:p>
          <w:p w:rsidR="00EB7645" w:rsidRPr="00BE00C7" w:rsidP="00BE00C7">
            <w:pPr>
              <w:pStyle w:val="OutcomeDescription"/>
              <w:spacing w:before="120" w:after="120"/>
              <w:rPr>
                <w:rFonts w:cs="Arial"/>
                <w:b w:val="0"/>
                <w:lang w:eastAsia="en-NZ"/>
              </w:rPr>
            </w:pPr>
            <w:r w:rsidRPr="00BE00C7">
              <w:rPr>
                <w:rFonts w:cs="Arial"/>
                <w:b w:val="0"/>
                <w:lang w:eastAsia="en-NZ"/>
              </w:rPr>
              <w:t>iii) A 24-hour activities plan was not documented for each resident in the dementia unit that includes their usual routines and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an activities programme for residents when the DT is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Document an activities plan is for each resident with interventions identified to meet goals. </w:t>
            </w:r>
          </w:p>
          <w:p w:rsidR="00EB7645" w:rsidRPr="00BE00C7" w:rsidP="00BE00C7">
            <w:pPr>
              <w:pStyle w:val="OutcomeDescription"/>
              <w:spacing w:before="120" w:after="120"/>
              <w:rPr>
                <w:rFonts w:cs="Arial"/>
                <w:b w:val="0"/>
                <w:lang w:eastAsia="en-NZ"/>
              </w:rPr>
            </w:pPr>
            <w:r w:rsidRPr="00BE00C7">
              <w:rPr>
                <w:rFonts w:cs="Arial"/>
                <w:b w:val="0"/>
                <w:lang w:eastAsia="en-NZ"/>
              </w:rPr>
              <w:t>iii) Document 24-hour activities plan for each resident in the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smoking area for residents who smoke.  In the hospital/rest home area, there were cigarette butts outside the bedroom door of one resident who smokes (not a designated area) and there were two cigarette butts on the bedroom floor.  The room smelled of smoke on the days of audit.  This resident was asked to wear a fire blanket as they dropped ash and embers on themselves when smoking.  One resident (who smoked) stated that they were asked by a staff member on a number of occasions to supervise this resident who smoked (this was not able to be validated by the resident who smoked on the day of audit as they were not able to talk with the auditor, or by staff interviewed).  A container with cigarette butts in it was found in the courtyard of the dementia unit outside of the general lounge area.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issues relating to management of residents who smoke that include the potential for residents being asked to supervise another resident who smokes, and the use of areas to smoke outside of the designated area.   Since the draft report the provider has stated, there is a smoke area for residents. Staff supervise them when needed. It is not the normal process to ask a resident to supervise another resident who smokes.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 safe place for residents to smoke with supervision by staff if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were mostly observed to be clean on the day of audit, however five bedrooms sighted had wheelchairs, had scuffed floors and lower walls with marks not removed.  Five residents/family interviewed stated that rooms were not always kept clean.  The carpet in the dementia unit was stained.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complaints of rooms not being kept clean and this was observed in some areas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rooms are kept clean at all times.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Sunrise Healthcare Limited - West Harbour Gardens</w:t>
    </w:r>
    <w:bookmarkEnd w:id="58"/>
    <w:r>
      <w:rPr>
        <w:rFonts w:cs="Arial"/>
        <w:sz w:val="16"/>
        <w:szCs w:val="20"/>
      </w:rPr>
      <w:tab/>
      <w:t xml:space="preserve">Date of Audit: </w:t>
    </w:r>
    <w:bookmarkStart w:id="59" w:name="AuditStartDate1"/>
    <w:r>
      <w:rPr>
        <w:rFonts w:cs="Arial"/>
        <w:sz w:val="16"/>
        <w:szCs w:val="20"/>
      </w:rPr>
      <w:t>16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