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J &amp; R Manuel Limited - Phoenix House Resthome and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J &amp; R Manuel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Phoenix House Resthome and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7 July 2021</w:t>
      </w:r>
      <w:bookmarkEnd w:id="7"/>
      <w:r w:rsidRPr="009418D4">
        <w:rPr>
          <w:rFonts w:cs="Arial"/>
        </w:rPr>
        <w:tab/>
        <w:t xml:space="preserve">End date: </w:t>
      </w:r>
      <w:bookmarkStart w:id="8" w:name="AuditEndDate"/>
      <w:r w:rsidR="00A4268A">
        <w:rPr>
          <w:rFonts w:cs="Arial"/>
        </w:rPr>
        <w:t>8 July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None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Phoenix House Rest Home and Hospital is privately owned and operated and cares for up to 30 residents requiring hospital and rest home level care.  On the day of the audit, there were 28 residents. </w:t>
      </w:r>
    </w:p>
    <w:p w:rsidRPr="00A4268A">
      <w:pPr>
        <w:spacing w:before="240" w:line="276" w:lineRule="auto"/>
        <w:rPr>
          <w:rFonts w:eastAsia="Calibri"/>
        </w:rPr>
      </w:pPr>
      <w:r w:rsidRPr="00A4268A">
        <w:rPr>
          <w:rFonts w:eastAsia="Calibri"/>
        </w:rPr>
        <w:t>The service is managed by a facility manager who has been in the role since November 2016 with support from the previous owner, and registered nurses.  Residents and family and the GP interviewed, spoke very highly about the service provided.  The service remains a whānau centred and owned business providing a home like experience for the community of Coromandel.</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staff and management, and an interview with the general practitioner.  </w:t>
      </w:r>
    </w:p>
    <w:p w:rsidRPr="00A4268A">
      <w:pPr>
        <w:spacing w:before="240" w:line="276" w:lineRule="auto"/>
        <w:rPr>
          <w:rFonts w:eastAsia="Calibri"/>
        </w:rPr>
      </w:pPr>
      <w:r w:rsidRPr="00A4268A">
        <w:rPr>
          <w:rFonts w:eastAsia="Calibri"/>
        </w:rPr>
        <w:t xml:space="preserve">There are well-developed systems, processes, policies, and procedures that are structured to provide appropriate quality care for people who use the service.  Implementation is supported through the quality and risk management programme.  A comprehensive orientation and in-service training programme that provides staff with appropriate knowledge and skills to deliver care and support, is in place. </w:t>
      </w:r>
    </w:p>
    <w:p w:rsidRPr="00A4268A">
      <w:pPr>
        <w:spacing w:before="240" w:line="276" w:lineRule="auto"/>
        <w:rPr>
          <w:rFonts w:eastAsia="Calibri"/>
        </w:rPr>
      </w:pPr>
      <w:r w:rsidRPr="00A4268A">
        <w:rPr>
          <w:rFonts w:eastAsia="Calibri"/>
        </w:rPr>
        <w:t xml:space="preserve">Two shortfalls were identified during the audit to documentation of corrective action plans when issues were identified, and to completion of medication competencies.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Policies are documented to support resident rights and residents state that their rights are upheld.  Individual care plans include reference to residents’ values and beliefs.  Residents and relatives are kept up to date when changes occur or when an incident occurs.  Systems are in place to ensure residents are provided with appropriate information to assist them to make informed choices and give informed consent.  </w:t>
      </w:r>
    </w:p>
    <w:p w:rsidRPr="00A4268A">
      <w:pPr>
        <w:spacing w:before="240" w:line="276" w:lineRule="auto"/>
        <w:rPr>
          <w:rFonts w:eastAsia="Calibri"/>
        </w:rPr>
      </w:pPr>
      <w:r w:rsidRPr="00A4268A">
        <w:rPr>
          <w:rFonts w:eastAsia="Calibri"/>
        </w:rPr>
        <w:t>A complaints policy is documented that aligns with the Health and Disability Commissioner's (HDC) Code of Health and Disability Services Consumers' Rights (the Code).  A complaints register is maintained.  Consents are documented by residents or family and there are advance directives documented if the resident is competent to complete these.</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facility manager has support from the previous owner (registered nurse) whenever this is required.  The facility manager is also the clinical manager. </w:t>
      </w:r>
    </w:p>
    <w:p w:rsidRPr="00A4268A">
      <w:pPr>
        <w:spacing w:before="240" w:line="276" w:lineRule="auto"/>
        <w:rPr>
          <w:rFonts w:eastAsia="Calibri"/>
        </w:rPr>
      </w:pPr>
      <w:r w:rsidRPr="00A4268A">
        <w:rPr>
          <w:rFonts w:eastAsia="Calibri"/>
        </w:rPr>
        <w:t xml:space="preserve">There is a documented quality and risk management programme with key components of the system including management of complaints, implementation of an internal audit schedule, annual satisfaction surveys, incidents and accidents, review of infections, and review of risk and monitoring of health and safety, including hazards.  Quality data is discussed at facility meetings.  </w:t>
      </w:r>
    </w:p>
    <w:p w:rsidRPr="00A4268A">
      <w:pPr>
        <w:spacing w:before="240" w:line="276" w:lineRule="auto"/>
        <w:rPr>
          <w:rFonts w:eastAsia="Calibri"/>
        </w:rPr>
      </w:pPr>
      <w:r w:rsidRPr="00A4268A">
        <w:rPr>
          <w:rFonts w:eastAsia="Calibri"/>
        </w:rPr>
        <w:t>Human resource policies are in place, including a documented rationale for determining staffing levels and skill mixes.  A roster provides sufficient and appropriate staff coverage for the effective delivery of care.  An orientation and training programme is documented.  Registered nursing cover is provided 24 hours a day, 7 days a week.</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service provision.  A registered nurse assesses and reviews residents' needs, outcomes and goals with the resident and/or family/whānau input.  Care plans viewed demonstrate service integration and are reviewed at least six monthly.  Resident files include medical notes by the contracted general practitioner (GP), and visiting allied health professionals. </w:t>
      </w:r>
    </w:p>
    <w:p w:rsidRPr="00A4268A" w:rsidP="00621629">
      <w:pPr>
        <w:spacing w:before="240" w:line="276" w:lineRule="auto"/>
        <w:rPr>
          <w:rFonts w:eastAsia="Calibri"/>
        </w:rPr>
      </w:pPr>
      <w:r w:rsidRPr="00A4268A">
        <w:rPr>
          <w:rFonts w:eastAsia="Calibri"/>
        </w:rPr>
        <w:t>Medication policies reflect legislative requirements and guidelines.  Registered nurses are responsible for the administration of medicines, with senior caregivers acting as checkers/second signatories for controlled medications.  The medication charts (paper-based) are reviewed three monthly by the general practitioner.</w:t>
      </w:r>
    </w:p>
    <w:p w:rsidRPr="00A4268A" w:rsidP="00621629">
      <w:pPr>
        <w:spacing w:before="240" w:line="276" w:lineRule="auto"/>
        <w:rPr>
          <w:rFonts w:eastAsia="Calibri"/>
        </w:rPr>
      </w:pPr>
      <w:r w:rsidRPr="00A4268A">
        <w:rPr>
          <w:rFonts w:eastAsia="Calibri"/>
        </w:rPr>
        <w:t>The recreational therapists implement the activity programme to meet the individual needs, preferences and abilities of the residents.  Residents are encouraged to maintain community links.  There are regular entertainers, outings, and celebrations.  Residents and families reported satisfaction with the activities programme.</w:t>
      </w:r>
    </w:p>
    <w:p w:rsidRPr="00A4268A" w:rsidP="00621629">
      <w:pPr>
        <w:spacing w:before="240" w:line="276" w:lineRule="auto"/>
        <w:rPr>
          <w:rFonts w:eastAsia="Calibri"/>
        </w:rPr>
      </w:pPr>
      <w:r w:rsidRPr="00A4268A">
        <w:rPr>
          <w:rFonts w:eastAsia="Calibri"/>
        </w:rPr>
        <w:t>All meals are cooked on site.  Residents' food preferences, dislikes and dietary requirements are identified at admission and accommodated.  There are nutritious snacks available at all times.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holds a current warrant of fitness.  Fixtures, fittings and flooring are appropriate and toilet/shower facilities are constructed for ease of cleaning.  Staff are provided with access to training and education to ensure safe and appropriate handling of waste and hazardous substances.  Electrical equipment has been tested and tagged.  All medical equipment and all hoists have been serviced and calibrated.  </w:t>
      </w:r>
    </w:p>
    <w:p w:rsidRPr="00A4268A">
      <w:pPr>
        <w:spacing w:before="240" w:line="276" w:lineRule="auto"/>
        <w:rPr>
          <w:rFonts w:eastAsia="Calibri"/>
        </w:rPr>
      </w:pPr>
      <w:r w:rsidRPr="00A4268A">
        <w:rPr>
          <w:rFonts w:eastAsia="Calibri"/>
        </w:rPr>
        <w:t xml:space="preserve">Residents can freely mobilise within the communal areas with safe access to the outdoors, seating, and shade.  Cleaning and laundry services are monitored through the internal auditing system.  Appropriate training, information, and equipment for responding to emergencies are provided.  There is an emergency management plan in place and adequate civil defence supplies in the event of an emergency.  There is an approved evacuation scheme and emergency supplies for at least three days.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There are policies and procedures on safe restraint use and enablers.  The facility manager (registered nurse) is identified as the restraint coordinator.  There is no restraint used by residents.  There were three residents using a bedrail or lap belt as an enabler during the audit.  Staff receive training around restraint and behaviours that challenge.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 Infection control management systems are in place to minimise the risk of infection to consumers, service providers and visitors.  The infection control programme is implemented and meets the needs of the service.  There is a dedicated Covid folder including a pandemic plan and guidelines. Documentation evidences that relevant infection control education is provided to all service providers as part of their orientation and as part of the ongoing in-service education programme.  The type of surveillance undertaken is appropriate to the size and complexity of the organisation.  Results of surveillance are acted upon, evaluated, and reported to relevant personnel in a timely manner.</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418"/>
        <w:gridCol w:w="1280"/>
        <w:gridCol w:w="923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 Code of Health and Disability Services Consumers’ Rights (the Code) policy and procedure is implemented.  Discussions with the facility manager, two RNs, the clinical services lead (registered nurse), four caregivers, cook, recreational therapist, lead administrator/caregiver and cleaner confirmed their familiarity with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Training around the rights as described in the Code includes advocacy, informed consent, privacy, and identification of any abuse is provided at least annually with all staff having had this training in the past year.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and families on admission.  Written general consents reviewed in six resident files (four hospital, and two rest home) were signed by the resident or their enduring power of attorney (EPOA).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Advanced directives and/or resuscitation status are signed for separately by the competent resident.  Copies of EPOA are kept on the residents file where required and activated where necessary.  Caregivers and registered nurses (RNs) interviewed, confirmed verbal consent is obtained when delivering care.  Discussion with family members stated that the service actively involves them in decisions that affect their relative’s lives.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 resident files sampled have signed admission agreements.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HDC advocacy brochures are included in the information provided to new residents and their family during their entry to the service.  An advocacy poster is displayed in a visible location in both Māori and English.  Staff receive regular education and training on the role of advocacy services, which begins during their induction to the service.  Education is provided by the local HDC advocacy service.</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interviewed were aware of the role of advocacy services and their right to access support.  The complaints process is linked to advocacy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open visiting policy.  Residents may have visitors of their choice at any time.  The service encourages the residents to maintain their relationships with friends and community groups.  Assistance is provided by the care staff to ensure that the residents participate in as much as they can safely and desire to do, evidenced through interviews and observations.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the residents confirmed that they are encouraged to remain active in their community and participate in social activities external to the aged care facility.  Examples include van outings, and church services, attendance at local art exhibitions and local theatre, and Matariki celebrations.  Local entertainers visit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procedure is provided to residents and families/whānau during entry to the service.  Access to complaints forms are located at reception.  A complaints register is in place.  There are no complaints since the last audit.  The facility manager and staff stated that they respond to any concerns or ideas immediately so that they do not escalate into complaints.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residents and families/whānau confirmed they were provided with information on the complaints process and remarked that any concerns or issues they had were addressed promptly.  They advised that they had no complaints or concerns about the service and found the staff and managers very approachable.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Details relating to the Code and the Health and Disability Advocacy Service are included in the resident information that is provided to new residents and their families.  The facility manager discusses aspects of the Code with residents and their family/whānau on admission.  The Code is displayed in English and Māori throughout the facility.  All residents interviewed (six rest home and four hospital), and four family/whānau interviewed with a family member at rest home level reported that the residents’ rights were being upheld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which align with the requirements of the Privacy Act and Health Information Privacy Code.  Staff were observed respecting resident’s privacy and could describe how they manage maintaining privacy and respect of personal property.  All residents interviewed stated their needs were met.  </w:t>
            </w:r>
          </w:p>
          <w:p w:rsidR="00EB7645" w:rsidRPr="00BE00C7" w:rsidP="00BE00C7">
            <w:pPr>
              <w:pStyle w:val="OutcomeDescription"/>
              <w:spacing w:before="120" w:after="120"/>
              <w:rPr>
                <w:rFonts w:cs="Arial"/>
                <w:b w:val="0"/>
                <w:lang w:eastAsia="en-NZ"/>
              </w:rPr>
            </w:pPr>
            <w:r w:rsidRPr="00BE00C7">
              <w:rPr>
                <w:rFonts w:cs="Arial"/>
                <w:b w:val="0"/>
                <w:lang w:eastAsia="en-NZ"/>
              </w:rPr>
              <w:t>There is a policy that describes spiritual care.  There is access for residents to spiritual support whenever this is required.  All residents interviewed indicated that their spiritual needs are being met as this is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committed to ensuring that the individual interests, customs, beliefs, cultural and ethnic backgrounds of Māori are valued and fostered within the service.  The care staff interviewed reported that they value and encourage active participation and input from the family/whānau in the day-to-day care of the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identifies as Māori (Ngati Maru, Ngati Whanaunga, and Ngati Pukenga ki Manaia) and Pakeha and in their words, this is a symbol of Te Tiriti o Waitangi. They identify three marae that they connect with: Mania Narae, Harataunga Marae and Te Paea Marae. </w:t>
            </w:r>
          </w:p>
          <w:p w:rsidR="00EB7645" w:rsidRPr="00BE00C7" w:rsidP="00BE00C7">
            <w:pPr>
              <w:pStyle w:val="OutcomeDescription"/>
              <w:spacing w:before="120" w:after="120"/>
              <w:rPr>
                <w:rFonts w:cs="Arial"/>
                <w:b w:val="0"/>
                <w:lang w:eastAsia="en-NZ"/>
              </w:rPr>
            </w:pPr>
            <w:r w:rsidRPr="00BE00C7">
              <w:rPr>
                <w:rFonts w:cs="Arial"/>
                <w:b w:val="0"/>
                <w:lang w:eastAsia="en-NZ"/>
              </w:rPr>
              <w:t>Over 60% of staff at Phoenix House identify as Māori and have strong links with the local iwi (Ngati Maru, Ngati Whanaunga, Ngati Tamatera and Ngati Pukenga) and Hauraki Māori Trust Board.  Staff regularly speak te reo Māori with the Māori residents.  Local kaumātua are available to support residents and the facility when required (e.g., to bless rooms, to support residents requiring palliative care, to visit family members etc).</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Cultural values and beliefs that are identified through the assessment process are documented in the resident’s care plan.  Forty percent of residents living at the facility identify as Māori.  The Māori residents interviewed confirmed that their cultural values and beliefs were met, and tikanga principles are imbedded in the care practices in 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education on cultural awareness begins during their induction to the service and continues as a regular in-service.  The caregivers interviewed provided examples of how they ensure Māori values and beliefs are upheld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identifies the residents’ personal needs and desires from the time of admission.  This is achieved in collaboration with the resident, family/whānau and/or their representative.  The staff demonstrated through interviews and observations that they are committed to ensuring each resident remains a person, even in a state of decline.  </w:t>
            </w:r>
          </w:p>
          <w:p w:rsidR="00EB7645" w:rsidRPr="00BE00C7" w:rsidP="00BE00C7">
            <w:pPr>
              <w:pStyle w:val="OutcomeDescription"/>
              <w:spacing w:before="120" w:after="120"/>
              <w:rPr>
                <w:rFonts w:cs="Arial"/>
                <w:b w:val="0"/>
                <w:lang w:eastAsia="en-NZ"/>
              </w:rPr>
            </w:pPr>
            <w:r w:rsidRPr="00BE00C7">
              <w:rPr>
                <w:rFonts w:cs="Arial"/>
                <w:b w:val="0"/>
                <w:lang w:eastAsia="en-NZ"/>
              </w:rPr>
              <w:t>Beliefs and values are discussed and incorporated into the residents’ care plans, as evidenced in all care plans reviewed (two rest home and four hospital).  Residents and family/whānau interviewed confirmed they were involved in developing the resident’s plan of care, which included the identification of individual values and beliefs.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a staff code of conduct which states there will be zero tolerance against any discrimination occurring.  The registered nurses supervise staff to ensure professional practice is maintained in the service.  The abuse and neglect processes cover harassment and exploitation and staff receive training around how to identify abuse or neglect and the process for reporting.  All residents interviewed reported that the staff respected them.  Job descriptions include responsibilities of the position, ethics, advocacy, and legal issues.  The orientation and employee agreement provided to staff on induction includes standards of conduct.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to guide practice that align with the health and disability services standards, for residents with aged care needs.  The service continues to perform cyclical renovations of all rooms and communal areas.  Heat pumps have been replaced and extra eco-friendly heating panels have been added where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and family satisfaction survey was sent out in 2020 and completed survey forms returned demonstrated high levels of satisfaction with the services provided.  The resident meeting includes feedback on any issues that are concerning residents and ideas of how to improve the service.  There was evidence that the residents’ feedback (as appropriate) is acted upon.  Residents interviewed spoke very positively about the care and support provided and stated the management team are very approachable.  Staff interviewed had a sound understanding of principles of aged care and stated that they feel supported by the management team.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policies include pre-employment and the requirement to attend orientation and ongoing in-service training.  A van is on site for regular outings.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open disclosure policy is based on the principle that residents and their families/whānau have a right to know what has happened to them and to be fully informed at all times.  The policy also describes that open disclosure is part of everyday practice.  The care staff interviewed understood about open disclosure and providing appropriate information and resource material when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Family/whānau document the circumstances and timeframes they wish to be contacted, regarding the notification of a change in heath condition or an adverse event.  The 15 accident/incident forms reviewed reflected documented evidence of families/whānau being informed following an adverse event.  Families/whānau interviewed confirmed they are kept informed of the resident’s status, including any events adversely affecting the resident.  A family/whānau communication sheet is held in the front of the residents’ files.  </w:t>
            </w:r>
          </w:p>
          <w:p w:rsidR="00EB7645" w:rsidRPr="00BE00C7" w:rsidP="00BE00C7">
            <w:pPr>
              <w:pStyle w:val="OutcomeDescription"/>
              <w:spacing w:before="120" w:after="120"/>
              <w:rPr>
                <w:rFonts w:cs="Arial"/>
                <w:b w:val="0"/>
                <w:lang w:eastAsia="en-NZ"/>
              </w:rPr>
            </w:pPr>
            <w:r w:rsidRPr="00BE00C7">
              <w:rPr>
                <w:rFonts w:cs="Arial"/>
                <w:b w:val="0"/>
                <w:lang w:eastAsia="en-NZ"/>
              </w:rPr>
              <w:t>An interpreter service is available and accessible if required, through the DHB.  Families/whānau and staff are utilised in the first instance.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Phoenix House is a family owned and operated facility that was established in 1987.  The original owners sold the business to members of the family in 2009.  The facility manager receives support from the previous owner (clinical services lead) who was on site supporting the team on the days of audit.  Both the owner/director and the clinical services lead are registered nurses with current annual practicing certificates.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is a registered nurse (RN) with 30 years of nursing experience in the community and hospital setting.  They have a Bachelor of Nursing and Diploma in Business and Administration.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provides care for up to 30 residents at rest home and hospital level of care.  There were 28 residents on the day of audit.  There were 18 rest home residents and 10 at hospital level (including one under a post-acute care [PAC] agreement, one under a long-term service – chronic health care [LTS-CHC], and one funded by ACC for respite care).  All other residents were under the Age-Related Care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business plan has been developed that includes a philosophy, values, and measurable goals.  Business goals have been documented for 2021 with the previous 2020 business plan reviewed prior to the 2021 being developed.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has completed at least eight hours of training related to management of an aged care facility, relevant to their role and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absence of the facility manager, the previous owner (clinical services lead) who is also a registered nurse with a current APC assumes responsibilities.  They are aware of their responsibilities as described when interviewed.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and risk management programme is in place.  Interviews with the facility manager and staff reflected their understanding of the quality and risk management systems that have been put into place.  </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and associated implementation systems provide a good level of assurance that the facility is meeting accepted good practice and adhering to relevant standards - including those standards relating to the Health and Disability Services (Safety) Act 2001.  A document control system is in place.  Policies are regularly reviewed.  New policies or changes to policy are communicated to staff, evidenced in meeting minutes.  Staff are requested to sign that they have read the new/revised policies.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data collected is collated and analysed.  An internal audit programme is being implemented.  Areas of non-compliance include the initiation of a corrective action plan in some cases, with corrective actions being signed off at staff meetings to evidence their implementation.  Quality data is regularly communicated to staff via monthly staff meetings, and a copy of the previous meeting minutes are kept in the staff room.  Meeting minutes reviewed for 2021 showed that discussions occur and when documented, actions are resolved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A health and safety programme is in place that meets current legislative requirements.  An interview with the health and safety officer (lead administrator/caregiver) and review of health and safety documentation confirmed that legislative requirements are being met.  External contractors have been orientated to the facility’s health and safety programme.  The hazard register is regularly reviewed (last review at the end of 2020).</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accidents and incidents reporting policy is in place.  There was evidence to support actions are undertaken to minimise the number of incidents.  Clinical evaluation of residents following an adverse event is conducted by a registered nurse and was evidenced in all 15 accident/incident forms selected for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Adverse events are linked to the quality and risk management programme.  Staff are kept informed in a timely manner regarding accidents and incidents and the implementation of strategies to reduce the number of adverse events.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is aware of the requirement to notify relevant authorities in relation to essential notifications.  There have not been any section 31 reports required to be sent to the Ministry of Health to notify them of any serious incidents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 management policies in place, which includes the recruitment and staff selection process.  Relevant checks are completed to validate the individual’s qualifications, experience, and veracity, evidenced in six staff files randomly selected for review (lead administrator/caregiver, two registered nurses, two caregivers, and cook).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Copies of practising certificates are kept on file.  The service has implemented an orientation programme that provides new staff with relevant information for safe work practice.  Evidence of completed induction checklists were sighted in all six staff files.  Annual staff appraisals were up-to-date.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in-service education programme is being implemented.  Competencies for staff are also completed (link 1.3.12.3).  Regular in-services are provided by a range of in-house and external speakers including (but not limited to) nurse specialists, Aged Concern and the Health and Disability Advocacy Service.  The service also has access to an aged care on-line learning programme.  Caregivers are encouraged and supported to complete Careerforce with six caregivers having completed level two, two completed level three, and three who have completed level four training.  There are four caregivers currently enrolled in level four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registered nurses who are interRAI trained.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Phoenix House policy includes staff rationale and skill mix.  Sufficient staff are rostered to manage the care requirements of the residents.  </w:t>
            </w:r>
          </w:p>
          <w:p w:rsidR="00EB7645" w:rsidRPr="00BE00C7" w:rsidP="00BE00C7">
            <w:pPr>
              <w:pStyle w:val="OutcomeDescription"/>
              <w:spacing w:before="120" w:after="120"/>
              <w:rPr>
                <w:rFonts w:cs="Arial"/>
                <w:b w:val="0"/>
                <w:lang w:eastAsia="en-NZ"/>
              </w:rPr>
            </w:pPr>
            <w:r w:rsidRPr="00BE00C7">
              <w:rPr>
                <w:rFonts w:cs="Arial"/>
                <w:b w:val="0"/>
                <w:lang w:eastAsia="en-NZ"/>
              </w:rPr>
              <w:t>There is a registered nurse rostered on each shift for 28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a morning shift there are five caregivers - three long, and two short shifts.  On an afternoon shift, there are three caregivers - two long and one short shift.  There is also a caregiver on between 5 pm and 7 pm to help with dinner and supervision of the lounge.  On a night shift, there is one caregiver.  Extra staff can be called on for increased resident requirements and this was confirmed by staff interviewed.  There are no bureau staff in the area and casual staff and part time staff do extra shifts when required. </w:t>
            </w:r>
          </w:p>
          <w:p w:rsidR="00EB7645" w:rsidRPr="00BE00C7" w:rsidP="00BE00C7">
            <w:pPr>
              <w:pStyle w:val="OutcomeDescription"/>
              <w:spacing w:before="120" w:after="120"/>
              <w:rPr>
                <w:rFonts w:cs="Arial"/>
                <w:b w:val="0"/>
                <w:lang w:eastAsia="en-NZ"/>
              </w:rPr>
            </w:pPr>
            <w:r w:rsidRPr="00BE00C7">
              <w:rPr>
                <w:rFonts w:cs="Arial"/>
                <w:b w:val="0"/>
                <w:lang w:eastAsia="en-NZ"/>
              </w:rPr>
              <w:t>Activities staff are rostered on five days a week.  A morning caregiver completes the laundry, and reported there is adequate time allocated for this.</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residents and family/whānau members identified that staffing is adequate to meet the needs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files are appropriate to the service type.  Residents entering the service have all relevant initial information recorded within 24 hours of entry.  An initial support plan is also developed in this time.  Personal resident information is kept confidential and cannot be viewed by other residents or members of the public.  Residents’ files are protected from unauthorised access by being held in secure rooms.  Archived records are secure in a separate locked storage facility located on the premises.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demonstrated service integration.  Entries are legible, dated, timed, and signed by the carer, and include their designation.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admission policy and procedures to safely guide service provision and entry to the service.  All residents have a needs assessment completed prior to entry that identifies the level of care required.  The owner/manager screens all potential enquiries to ensure the service can meet the required level of care and specific needs of the resident.  The service has an information pack available for residents/families/whānau at entry.  The admission information pack outlines access, assessment and the entry screening process.  The service operates twenty-four hours a day, seven days a week.  Comprehensive information about the service is made available to referrers, potential residents and their families.  Resident agreements contain all detail required under the Aged Residential Care Agreement.  The six admission agreements reviewed meet contractual requirements and were signed and dated.  Exclusions from the service are included in the admission agreement.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and residents interviewed stated that they have received the information pack and have received sufficient information prior to and on entry to the service.   Family members reported that the manager or a registered nurse are available to answer any questions regarding the admission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policy that describes guidelines for death, discharge, transfer, documentation and follow up.  A record of transfer documentation is kept on the resident’s file.  All relevant information is documented and communicated to the receiving health provider or service.  The DHB ‘yellow envelope’ initiative is used to ensure the appropriate information is received on transfer to hospital and on discharge from hospital back to the facility.  Communication with family is made.  Care staff interviewed could accurately describe the procedure and documentation required for a resident transfer out of, and admission in to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policies and procedures in place for all aspects of medication management, including self-administration.  There were no residents self-medicating on the day of audit, however policy and procedures outlining assessment, review and safe storage are in place should the service require it.  There are no standing orders, and no vaccines are stored on site.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uses a paper-based medication management and blister pack system.  Medications are checked on arrival and any pharmacy errors recorded and fed back to the supplying pharmacy.  Registered nurses administer medications and senior caregivers act as checkers/second signatories for controlled medications, however, there was no evidence of up-to-date medication competencies.  There has been medication education in the last year.  Registered nurses have syringe driver training completed by the hospice.  The medication fridge and room temperatures are checked daily.  Eye drops viewed in the medication trolley had been dated once opened. </w:t>
            </w:r>
          </w:p>
          <w:p w:rsidR="00EB7645" w:rsidRPr="00BE00C7" w:rsidP="00BE00C7">
            <w:pPr>
              <w:pStyle w:val="OutcomeDescription"/>
              <w:spacing w:before="120" w:after="120"/>
              <w:rPr>
                <w:rFonts w:cs="Arial"/>
                <w:b w:val="0"/>
                <w:lang w:eastAsia="en-NZ"/>
              </w:rPr>
            </w:pPr>
            <w:r w:rsidRPr="00BE00C7">
              <w:rPr>
                <w:rFonts w:cs="Arial"/>
                <w:b w:val="0"/>
                <w:lang w:eastAsia="en-NZ"/>
              </w:rPr>
              <w:t>Twelve medication charts were reviewed.  Medications are reviewed at least three-monthly by the GP.  There was photo identification and allergy status recorded.  ‘As required’ medications had indications for use charted.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lead cook oversees the procurement of the food and management of the kitchen.  All meals are cooked on site.  The kitchen was observed to be clean and well organised, and a current approved food control plan was in evidence, expiring January 2022.  Special equipment such as lipped plates is available.  On the day of audit, meals were observed to be well presented.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kitchen manual and a range of policies and procedures to safely manage the kitchen and meal services.  Audits are implemented to monitor performance.  Kitchen fridge and freezer temperatures are monitored and recorded daily.  Food temperatures are checked at all meals.  These are all within safe limits.  The residents have a nutritional profile developed on admission, which identifies dietary requirements and likes and dislikes.  This is reviewed six-monthly as part of the care plan review.  Changes to residents’ dietary needs have been communicated to the kitchen.  Special diets and likes and dislikes are noted on a kitchen whiteboard.  The four-weekly seasonal menu is approved by an external dietitian.  </w:t>
            </w:r>
          </w:p>
          <w:p w:rsidR="00EB7645" w:rsidRPr="00BE00C7" w:rsidP="00BE00C7">
            <w:pPr>
              <w:pStyle w:val="OutcomeDescription"/>
              <w:spacing w:before="120" w:after="120"/>
              <w:rPr>
                <w:rFonts w:cs="Arial"/>
                <w:b w:val="0"/>
                <w:lang w:eastAsia="en-NZ"/>
              </w:rPr>
            </w:pPr>
            <w:r w:rsidRPr="00BE00C7">
              <w:rPr>
                <w:rFonts w:cs="Arial"/>
                <w:b w:val="0"/>
                <w:lang w:eastAsia="en-NZ"/>
              </w:rPr>
              <w:t>All residents/families interviewed are very complimentary about the meals provided.  Additional snacks are available at all times.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potential residents should this occur and communicates this to the consumer and where appropriate their family/whānau member of choice.  The reasons for declining entry would be if the service is unable to provide the assessed level of care or there are no beds available.  Potential residents would be referred back to the referring agency.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Files sampled indicated that all appropriate personal needs information is gathered during admission in consultation with the resident and their relative where appropriate.  InterRAI assessments had been completed for all long-term residents’ files reviewed excluding one YPD resident.  Initial interRAI assessments and reviews were evident for four of six resident files sampled (excluding YPD and ACC respite).</w:t>
            </w:r>
          </w:p>
          <w:p w:rsidR="00EB7645" w:rsidRPr="00BE00C7" w:rsidP="00BE00C7">
            <w:pPr>
              <w:pStyle w:val="OutcomeDescription"/>
              <w:spacing w:before="120" w:after="120"/>
              <w:rPr>
                <w:rFonts w:cs="Arial"/>
                <w:b w:val="0"/>
                <w:lang w:eastAsia="en-NZ"/>
              </w:rPr>
            </w:pPr>
            <w:r w:rsidRPr="00BE00C7">
              <w:rPr>
                <w:rFonts w:cs="Arial"/>
                <w:b w:val="0"/>
                <w:lang w:eastAsia="en-NZ"/>
              </w:rPr>
              <w:t>Resident files reviewed identified that risk assessments are completed on admission and reviewed six-monthly as part of the evaluation unless changes occur prior, in which case a review is carried out at that time.  Additional assessments for management of behaviour, pain, wound care, nutrition, falls and other safety assessments are appropriately completed according to need.  For the resident files reviewed, the outcomes from assessments and risk assessments are reflected into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evidenced multidisciplinary involvement in the care of the resident.  All care plans are resident-centred.  Interventions documented support needs and provide detail to guide care.  Residents and relatives interviewed stated that they were involved in the care planning process.  There was evidence of service integration with documented input from a range of specialist care professionals, including the dietitian, wound care specialist and speech and language therapist.  The care staff interviewed advised that the care plans were easy to follow.  Integration of records and monitoring documents are well managed.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resident’s condition changes, the RN will initiate a GP consultation.  Staff stated that they notify family members about any changes in their relative’s health status.  Care plans have been updated as residents’ needs changed.  The general practitioner interviewed was complimentary of the service and care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stated there are adequate clinical supplies and equipment provided, including continence and wound care supplies and these were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wound management and evaluation forms are in place for all wounds.  Wound monitoring occurred as planned and there are also photos to show wound progress.  Wounds included three chronic wounds, one post-surgical, and two cancerous lesions.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in use as applicable, such as weight, vital signs and wounds.  All monitoring requirements including neurological observations had been documented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three recreational therapists who plan and lead all activities, covering Monday to Friday, with resources being available for care staff, residents and families to use at the weekends.  Residents were observed participating in planned activities during the time of audit, including group exercise in the main lounge, with the recreational therapist adapting exercises to the various abilities of the clients to facilitate a fun and inclusive session.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weekly programme in large print on noticeboards, with residents being advised of activities verbally on a one-to-one basis by staff also.  Residents have the choice of a variety of activities which are varied according to resident preference and need.  These include (but are not limited to) exercises, walks outside, crafts, games, quizzes, entertainers, floor games and bingo.  The residents enjoy happy hour daily.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Those residents who prefer to stay in their room or cannot participate in group activities have one-on-one visits and activities such as hand massage are offered.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at least weekly outings to local areas of interest including beaches utilising a wheelchair accessible minibus.  There are regular entertainers visiting the facility.  Special events like birthdays, Easter, Mothers’ Day and Matariki are celebrated.  There are visiting community groups such as various church denominations and a local ukulele group.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completed over the first few weeks following admission, that describes the residents past hobbies and present interests, career and family.  Activity plans are evaluated at least six-monthly at the same time as the review of the long-term care plan.  </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were very positive about the activity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Four of six resident care plans reviewed (excluding the resident on respite and YPD resident in service less than 6 months) had been evaluated by the registered nurses six-monthly or earlier if there was a change in health status.  Care plan evaluations were documented and reviewed progress to meeting goals.  Activities plans are in place for each of the residents and these are also evaluated six-monthly.  There are three-monthly reviews by the GP for all residents which family are able to attend if they wish to do so.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sample group of resident files.  The service facilitates access to other medical and non-medical services.  Referral documentation is maintained on resident files.  The registered nurses interviewed could describe the procedure for when a resident’s condition changes and the resident needs to be reassessed for a higher or different level of care.  Discussion with the registered nurses identified that the service has access to a wide range of support either through the GP, specialists and allied health services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regarding chemical safety and waste disposal.  All chemicals were clearly labelled with manufacturer’s labels and stored in locked areas.  Safety datasheets and product sheets are available.  Sharp’s containers are available and meet the hazardous substances regulations for containers.  The hazard register identifies hazardous substance and staff indicated a clear understanding of processes and protocols.  Gloves, aprons, and goggles are available for staff.  A spills kit is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building warrant of fitness expiring 3 June 2022.   There is a comprehensive planned maintenance programme in place.  Reactive and preventative maintenance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Electrical equipment has been tested and tagged, the hoist and scales are checked annually and are next due to be checked June 2022.  Hot water temperatures have been monitored in resident areas and are within the acceptable range.  Flooring is safe and appropriate for residential care.  All corridors have safety rails and promote safe mobility with the use of mobility aids.  Residents were observed moving freely around the areas with mobility aids where required.  The external areas are well maintained.  All external areas have attractive features, including extensive grounds which are easily accessible to residents.  All outdoor areas have some seating and shade.  There is safe access to all communal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 rooms share communal showers and toilets.  Fixtures, fittings and flooring are appropriate.  Toilet/shower facilities are easy to clean.  There is ample space in all toilet and shower areas to accommodate shower chairs and a hoist if appropriate.  There are privacy signs on all shower/toilet doors.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sufficient space to allow care to be provided and for the safe use of mobility equipment.  Staff interviewed reported that they have more than adequate space to provide care to residents.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large and small communal areas.  Activities occur in the larger areas and the smaller areas are spaces where residents who prefer quieter activities or visitors may sit.  One lounge opens out onto an attractive courtyard/garden area.  There are dining rooms in each wing.  The dining areas are homely, inviting and appropriate for the needs of the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is done on site.  There is a defined clean and dirty flow within the laundry area.  There is a cleaning manual available.  Cleaning and laundry services are monitored through the internal auditing system.  The cleaners’ equipment was attended at all times or locked away in the cleaners’ cupboard.  All chemicals on the cleaner’s trolley were labelled.  Sluice rooms were kept locked when not in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Emergency and disaster policies and procedures and a civil defence plan are documented for the service.  Fire drills occur every six months at a minimum.  The orientation programme and mandatory education and training programme includes fire and security training.  Staff interviewed confirmed their understanding of emergency procedures.  Required fire equipment was sighted on the day of audit.  Fire equipment has been checked within required timeframes.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supplies available in the event of a civil defence emergency including food, water, and blankets.  A gas barbeque is available.  The service has their own generator which is checked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call bell system is in place.  Residents were observed in their rooms with their call bell alarms in close proximity.  </w:t>
            </w:r>
          </w:p>
          <w:p w:rsidR="00EB7645" w:rsidRPr="00BE00C7" w:rsidP="00BE00C7">
            <w:pPr>
              <w:pStyle w:val="OutcomeDescription"/>
              <w:spacing w:before="120" w:after="120"/>
              <w:rPr>
                <w:rFonts w:cs="Arial"/>
                <w:b w:val="0"/>
                <w:lang w:eastAsia="en-NZ"/>
              </w:rPr>
            </w:pPr>
            <w:r w:rsidRPr="00BE00C7">
              <w:rPr>
                <w:rFonts w:cs="Arial"/>
                <w:b w:val="0"/>
                <w:lang w:eastAsia="en-NZ"/>
              </w:rPr>
              <w:t>There is a minimum of one staff available 24 hours a day, seven days a week with a current first aid/CPR certificate.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have ample natural light and ventilation.  All heating is thermostatically controlled.  Staff and residents interviewed, stated heating and ventilation within the facility is effective.  There is a monitored outdoor area where residents may smoke.  All other areas are smoke free.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Phoenix House Rest Home and Hospital has an established infection control programme.  The infection control programme, its content and detail, is appropriate for the size, complexity and degree of risk associated with the service.  It is linked into the incident reporting system.  The facility manager (registered nurse) is the designated infection control coordinator with support from all staff as members of the infection control team.  </w:t>
            </w:r>
          </w:p>
          <w:p w:rsidR="00EB7645" w:rsidRPr="00BE00C7" w:rsidP="00BE00C7">
            <w:pPr>
              <w:pStyle w:val="OutcomeDescription"/>
              <w:spacing w:before="120" w:after="120"/>
              <w:rPr>
                <w:rFonts w:cs="Arial"/>
                <w:b w:val="0"/>
                <w:lang w:eastAsia="en-NZ"/>
              </w:rPr>
            </w:pPr>
            <w:r w:rsidRPr="00BE00C7">
              <w:rPr>
                <w:rFonts w:cs="Arial"/>
                <w:b w:val="0"/>
                <w:lang w:eastAsia="en-NZ"/>
              </w:rPr>
              <w:t>Infection control is discussed at the staff meetings.  Minutes are available for staff.  Spot infection control audits have been conducted and include hand hygiene and infection control practices.  Education is provided for all new staff on orientation.  The infection control programme has been reviewed annually (last reviewed December 2020).</w:t>
            </w:r>
          </w:p>
          <w:p w:rsidR="00EB7645" w:rsidRPr="00BE00C7" w:rsidP="00BE00C7">
            <w:pPr>
              <w:pStyle w:val="OutcomeDescription"/>
              <w:spacing w:before="120" w:after="120"/>
              <w:rPr>
                <w:rFonts w:cs="Arial"/>
                <w:b w:val="0"/>
                <w:lang w:eastAsia="en-NZ"/>
              </w:rPr>
            </w:pPr>
            <w:r w:rsidRPr="00BE00C7">
              <w:rPr>
                <w:rFonts w:cs="Arial"/>
                <w:b w:val="0"/>
                <w:lang w:eastAsia="en-NZ"/>
              </w:rPr>
              <w:t>Visitors are asked not to visit if they are unwell.  Residents and relatives interviewed stated they were kept well informed on visiting restrictions during the lockdown period.  Covid screening for visitors and contractors continue.  Influenza vaccines are offered to residents and staff.  Alcohol gel is freely available throughout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manager is the designated infection control (IC) coordinator.  There are adequate resources to implement the infection control programme for the size and complexity of the organisation.  The IC coordinator and IC team (comprising all staff) have good external support from the IC nurse specialist at the DHB.  Infection prevention and control is part of staff orientation and induction.  Hand washing facilities are available throughout the facility and alcohol hand gel is freely available.</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supply of personal protective equipment which is checked weekly.  A DHB representative completed a site visit to assess the facility preparedness in the event of a pandemic.  The DHB and Phoenix House Rest Home and Hospital provided sufficient supplies of personal protective equipment.  PPE is checked monthly by the facility manager to ensure that supplies are sufficient.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Phoenix House Rest Home and Hospital infection control policies and procedures appropriate to for the size and complexity of the service.  The infection control manual outlines a comprehensive range of policies, standards and guidelines and includes defining roles, responsibilities and oversight, the infection control team and training and education of staff.  The policies have been reviewed and updated.  There is a dedicated Covid folder including DHB and MOH guidelines.  Reviewed/new policies are discussed at staff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policy states that the facility is committed to the ongoing education of staff and residents.  Formal infection control education for staff has occurred.  The infection control coordinator has completed education in infection control.  Visitors are advised of any outbreaks of infection and are advised not to attend until the outbreak has been resolved.  Information is provided to residents and visitors that is appropriate to their needs and this is documented in resident records.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been trained in use of PPE relevant to Covid-19.  They have also been provided with education around Covid, hand hygiene, extra cleaning and other relevant topics related to Covid-19 and pandemic management.  A record of training is kept for each staff member.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describing surveillance methodology for monitoring of infections.  Definitions of infections are in place appropriate to the complexity of service provided.  The surveillance data is collected and analysed monthly to identify areas for improvement or corrective action requirements.  Infection control internal audits have been completed.  Infection rates have been low.  Trends are identified and quality initiatives are discussed at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outbreaks since the previous audit.  The facility manager had identified an area that could be used to isolate any residents should they become infected with Covid-19.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on restraint minimisation and safe practice.  The policy states that the facility prefers no or minimal restraint.  Policy includes guidelines and definitions for use of enablers and restraint.  On the day of the audit there were no residents using restraint.  There were three residents using enablers for safety.  These were a lap belt for one resident and bedrails for the others.  The three residents using enablers had given consent voluntarily. Staff receive training annually around challenging behaviours and restraint.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28"/>
        <w:gridCol w:w="1280"/>
        <w:gridCol w:w="5116"/>
        <w:gridCol w:w="2416"/>
        <w:gridCol w:w="239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process to document any corrective actions when these are identified through audits, increases in rates of falls or when issues are identified.  Corrective action plans were not always well documented when issued were identified (e.g., an increase from 14 falls in January 2021 to 22 falls in February 2021)</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Corrective action plans are not always well documented when issues arise or when data shows an increase past the clinical indicator (e.g., for falls)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corrective action plans are documented when issues arise or when there is data that shows an increase related to a clinical indicators.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1.3.12.3</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responsible for medicine management are competent to perform the function for each stage they manage.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to ensure medication competency, however current competencies could not be evidenced.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no documented evidence of annual medication competencies for registered nurses or caregivers administering/checking medications.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Evidence those responsible for medication management are competent to perform the function for each stage they manage.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J &amp; R Manuel Limited - Phoenix House Resthome and Hospital</w:t>
    </w:r>
    <w:bookmarkEnd w:id="58"/>
    <w:r>
      <w:rPr>
        <w:rFonts w:cs="Arial"/>
        <w:sz w:val="16"/>
        <w:szCs w:val="20"/>
      </w:rPr>
      <w:tab/>
      <w:t xml:space="preserve">Date of Audit: </w:t>
    </w:r>
    <w:bookmarkStart w:id="59" w:name="AuditStartDate1"/>
    <w:r>
      <w:rPr>
        <w:rFonts w:cs="Arial"/>
        <w:sz w:val="16"/>
        <w:szCs w:val="20"/>
      </w:rPr>
      <w:t>7 July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