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Horowhenua Masonic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Horowhenua Masonic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August 2021</w:t>
      </w:r>
      <w:bookmarkEnd w:id="7"/>
      <w:r w:rsidRPr="009418D4">
        <w:rPr>
          <w:rFonts w:cs="Arial"/>
        </w:rPr>
        <w:tab/>
        <w:t xml:space="preserve">End date: </w:t>
      </w:r>
      <w:bookmarkStart w:id="8" w:name="AuditEndDate"/>
      <w:r w:rsidR="00A4268A">
        <w:rPr>
          <w:rFonts w:cs="Arial"/>
        </w:rPr>
        <w:t>4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Horowhenua Masonic Village provides residential services at rest home and hospital level for up to 77 residents. The facility is operated by Masonic Care Limited and is managed by a village manager and a clinical nurse manager.</w:t>
      </w:r>
    </w:p>
    <w:p w:rsidRPr="00A4268A">
      <w:pPr>
        <w:spacing w:before="240" w:line="276" w:lineRule="auto"/>
        <w:rPr>
          <w:rFonts w:eastAsia="Calibri"/>
        </w:rPr>
      </w:pPr>
      <w:r w:rsidRPr="00A4268A">
        <w:rPr>
          <w:rFonts w:eastAsia="Calibri"/>
        </w:rPr>
        <w:t>Residents and families reported high satisfaction with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families, managers, staff, the chief executive, the director of nursing and a general practitioner.</w:t>
      </w:r>
    </w:p>
    <w:p w:rsidRPr="00A4268A">
      <w:pPr>
        <w:spacing w:before="240" w:line="276" w:lineRule="auto"/>
        <w:rPr>
          <w:rFonts w:eastAsia="Calibri"/>
        </w:rPr>
      </w:pPr>
      <w:r w:rsidRPr="00A4268A">
        <w:rPr>
          <w:rFonts w:eastAsia="Calibri"/>
        </w:rPr>
        <w:t>A new position of director of nursing quality and risk and a clinical governance committee have been established since the previous audit.</w:t>
      </w:r>
    </w:p>
    <w:p w:rsidRPr="00A4268A">
      <w:pPr>
        <w:spacing w:before="240" w:line="276" w:lineRule="auto"/>
        <w:rPr>
          <w:rFonts w:eastAsia="Calibri"/>
        </w:rPr>
      </w:pPr>
      <w:r w:rsidRPr="00A4268A">
        <w:rPr>
          <w:rFonts w:eastAsia="Calibri"/>
        </w:rPr>
        <w:t>An electronic client management system is currently being trialled within the group and is to be implemented in Horowhenua Masonic Village in February 2022.</w:t>
      </w:r>
    </w:p>
    <w:p w:rsidRPr="00A4268A">
      <w:pPr>
        <w:spacing w:before="240" w:line="276" w:lineRule="auto"/>
        <w:rPr>
          <w:rFonts w:eastAsia="Calibri"/>
        </w:rPr>
      </w:pPr>
      <w:r w:rsidRPr="00A4268A">
        <w:rPr>
          <w:rFonts w:eastAsia="Calibri"/>
        </w:rPr>
        <w:t>A continuous improvement rating has been awarded for a reduction in residents’ falls. There are no areas for improvement identified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of Horowhenua Masonic Village when they are admitted.  Opportunities are provided to discuss the Code, consent, and availability of advocacy services at the time of admission and thereafter as required.</w:t>
      </w:r>
    </w:p>
    <w:p w:rsidRPr="00A4268A">
      <w:pPr>
        <w:spacing w:before="240" w:line="276" w:lineRule="auto"/>
        <w:rPr>
          <w:rFonts w:eastAsia="Calibri"/>
        </w:rPr>
      </w:pPr>
      <w:r w:rsidRPr="00A4268A">
        <w:rPr>
          <w:rFonts w:eastAsia="Calibri"/>
        </w:rPr>
        <w:t>Services at Horowhenua Masonic Village are provided in a manner that respects the choices, personal privacy, independence, individual needs, and dignity of residents.  Staff were observed to be interacting with residents in a respectful manner.</w:t>
      </w:r>
    </w:p>
    <w:p w:rsidRPr="00A4268A">
      <w:pPr>
        <w:spacing w:before="240" w:line="276" w:lineRule="auto"/>
        <w:rPr>
          <w:rFonts w:eastAsia="Calibri"/>
        </w:rPr>
      </w:pPr>
      <w:r w:rsidRPr="00A4268A">
        <w:rPr>
          <w:rFonts w:eastAsia="Calibri"/>
        </w:rPr>
        <w:t>Care for any residents who identify as Māori is guided by a comprehensive Māori health plan and related policies.</w:t>
      </w:r>
    </w:p>
    <w:p w:rsidRPr="00A4268A">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maintained.</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formal interpreting services if required.</w:t>
      </w:r>
    </w:p>
    <w:p w:rsidRPr="00A4268A">
      <w:pPr>
        <w:spacing w:before="240" w:line="276" w:lineRule="auto"/>
        <w:rPr>
          <w:rFonts w:eastAsia="Calibri"/>
        </w:rPr>
      </w:pPr>
      <w:r w:rsidRPr="00A4268A">
        <w:rPr>
          <w:rFonts w:eastAsia="Calibri"/>
        </w:rPr>
        <w:t>Horowhenua Masonic Village has linkages to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  There have been no complaints investigated by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Masonic Care Limited is the governing body and is responsible for the services provided. A strategic business plan includes a purpose, vision, values and goals. Quality and risk management systems are fully implemented at Horowhenua Masonic Village and documented systems are in place for monitoring the services provided, including regular reporting by the village manager to the director of nursing who reports to the governing body.</w:t>
      </w:r>
    </w:p>
    <w:p w:rsidRPr="00A4268A">
      <w:pPr>
        <w:spacing w:before="240" w:line="276" w:lineRule="auto"/>
        <w:rPr>
          <w:rFonts w:eastAsia="Calibri"/>
        </w:rPr>
      </w:pPr>
      <w:r w:rsidRPr="00A4268A">
        <w:rPr>
          <w:rFonts w:eastAsia="Calibri"/>
        </w:rPr>
        <w:t xml:space="preserve">The facility is managed by an experienced and suitably qualified manager. The village manager is supported by a clinical nurse manager who is a registered nurse and the director of nursing. The clinical nurse manager is supported by three charge nurses and is responsible for oversight of the clinical services. </w:t>
      </w:r>
    </w:p>
    <w:p w:rsidRPr="00A4268A">
      <w:pPr>
        <w:spacing w:before="240" w:line="276" w:lineRule="auto"/>
        <w:rPr>
          <w:rFonts w:eastAsia="Calibri"/>
        </w:rPr>
      </w:pPr>
      <w:r w:rsidRPr="00A4268A">
        <w:rPr>
          <w:rFonts w:eastAsia="Calibri"/>
        </w:rPr>
        <w:t xml:space="preserve">There is an internal audit programme in place. Adverse events are documented on accident/incident forms. Corrective action plans are developed, implemented, monitored and signed off as being completed to address the issue/s that require improvement.  Quality, health and safety, management, various staff and residents’ meetings are held on a regular basis. </w:t>
      </w:r>
    </w:p>
    <w:p w:rsidRPr="00A4268A">
      <w:pPr>
        <w:spacing w:before="240" w:line="276" w:lineRule="auto"/>
        <w:rPr>
          <w:rFonts w:eastAsia="Calibri"/>
        </w:rPr>
      </w:pPr>
      <w:r w:rsidRPr="00A4268A">
        <w:rPr>
          <w:rFonts w:eastAsia="Calibri"/>
        </w:rPr>
        <w:t>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in place and followed. Staff have the required qualifications. An in-service education programme is provided, and staff performance is monitored.</w:t>
      </w:r>
    </w:p>
    <w:p w:rsidRPr="00A4268A">
      <w:pPr>
        <w:spacing w:before="240" w:line="276" w:lineRule="auto"/>
        <w:rPr>
          <w:rFonts w:eastAsia="Calibri"/>
        </w:rPr>
      </w:pPr>
      <w:r w:rsidRPr="00A4268A">
        <w:rPr>
          <w:rFonts w:eastAsia="Calibri"/>
        </w:rPr>
        <w:t>A documented rationale for determining staffing levels and skill mix is in place. Registered nurses are always rostered on duty. The clinical nurse manager and charge nurses are rostered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liaison evident between Support Links and the clinical team.  Relevant information is provided to the potential resident and their family to facilitate admission to the facility.  </w:t>
      </w:r>
    </w:p>
    <w:p w:rsidRPr="00A4268A" w:rsidP="00621629">
      <w:pPr>
        <w:spacing w:before="240" w:line="276" w:lineRule="auto"/>
        <w:rPr>
          <w:rFonts w:eastAsia="Calibri"/>
        </w:rPr>
      </w:pPr>
      <w:r w:rsidRPr="00A4268A">
        <w:rPr>
          <w:rFonts w:eastAsia="Calibri"/>
        </w:rPr>
        <w:t>The residents’ needs are assessed by the multidisciplinary team on admission and within the required time frames.  Care plans are individualised, based on a comprehensive range of information and accommodate any new problems that might arise.  The residents’ files reviewed evidenced that the care provided, and the needs of the residents are reviewed and evaluated on a regular and timely basis.  Residents are referred to other health providers as required.  Shift handovers and communication sheets promote continuity of care between the shifts in each of the three units.</w:t>
      </w:r>
    </w:p>
    <w:p w:rsidRPr="00A4268A" w:rsidP="00621629">
      <w:pPr>
        <w:spacing w:before="240" w:line="276" w:lineRule="auto"/>
        <w:rPr>
          <w:rFonts w:eastAsia="Calibri"/>
        </w:rPr>
      </w:pPr>
      <w:r w:rsidRPr="00A4268A">
        <w:rPr>
          <w:rFonts w:eastAsia="Calibri"/>
        </w:rPr>
        <w:t>The planned activity programme is delivered by four part time diversional therapists.  The programme provides the residents with a variety of individual and group activities and maintains their links with the community.  There is a facility van available for outings.</w:t>
      </w:r>
    </w:p>
    <w:p w:rsidRPr="00A4268A" w:rsidP="00621629">
      <w:pPr>
        <w:spacing w:before="240" w:line="276" w:lineRule="auto"/>
        <w:rPr>
          <w:rFonts w:eastAsia="Calibri"/>
        </w:rPr>
      </w:pPr>
      <w:r w:rsidRPr="00A4268A">
        <w:rPr>
          <w:rFonts w:eastAsia="Calibri"/>
        </w:rPr>
        <w:t>Medicines are managed according to the policies and procedures which are based on current best practice and consistently implemented.  Medications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any special requirements catered for.  Policies guide the food service delivery supported by staff with food safety qualifications.  The kitchen was well organised, clean and meets food safety standards.  Residents verified satisfaction with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building warrant of fitness is displayed at the front entrance. Preventative and reactive maintenance programmes include equipment and electrical checks.</w:t>
      </w:r>
    </w:p>
    <w:p w:rsidRPr="00A4268A">
      <w:pPr>
        <w:spacing w:before="240" w:line="276" w:lineRule="auto"/>
        <w:rPr>
          <w:rFonts w:eastAsia="Calibri"/>
        </w:rPr>
      </w:pPr>
      <w:r w:rsidRPr="00A4268A">
        <w:rPr>
          <w:rFonts w:eastAsia="Calibri"/>
        </w:rPr>
        <w:t>There is a mix of rooms with individual and shared full ensuites. Adequate numbers of additional bathrooms and toilets are available.  Several lounges, dining areas and alcoves are available. Shaded, external areas and sitting are provided.</w:t>
      </w:r>
    </w:p>
    <w:p w:rsidRPr="00A4268A">
      <w:pPr>
        <w:spacing w:before="240" w:line="276" w:lineRule="auto"/>
        <w:rPr>
          <w:rFonts w:eastAsia="Calibri"/>
        </w:rPr>
      </w:pPr>
      <w:r w:rsidRPr="00A4268A">
        <w:rPr>
          <w:rFonts w:eastAsia="Calibri"/>
        </w:rPr>
        <w:t>An appropriate call bell system is available, and residents reported timely responses to call bells. Security and emergency systems are in place.  Staff are trained in emergency procedures and emergency resources are readily available. Emergency supplies are checked regularly. Fire evacuation procedures are held six monthly.</w:t>
      </w:r>
    </w:p>
    <w:p w:rsidRPr="00A4268A">
      <w:pPr>
        <w:spacing w:before="240" w:line="276" w:lineRule="auto"/>
        <w:rPr>
          <w:rFonts w:eastAsia="Calibri"/>
        </w:rPr>
      </w:pPr>
      <w:r w:rsidRPr="00A4268A">
        <w:rPr>
          <w:rFonts w:eastAsia="Calibri"/>
        </w:rPr>
        <w:t>Protective equipment and clothing are provided and used by staff. Chemicals, soiled linen and equipment were safely stored. Personal and small items are laundered on site and linen by an external company. Cleaning and laundry processes are evaluated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residents using restraints and enablers at the time of audit. Restraint processes are in place and meet the standards.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appropriately trained infection control nurse, aims to prevent and manage infections.  The programme is reviewed annually.  Specialist infection prevention and control advice is accessed if required.  </w:t>
      </w:r>
    </w:p>
    <w:p w:rsidRPr="00A4268A">
      <w:pPr>
        <w:spacing w:before="240" w:line="276" w:lineRule="auto"/>
        <w:rPr>
          <w:rFonts w:eastAsia="Calibri"/>
        </w:rPr>
      </w:pPr>
      <w:r w:rsidRPr="00A4268A">
        <w:rPr>
          <w:rFonts w:eastAsia="Calibri"/>
        </w:rPr>
        <w:t xml:space="preserve">Staff demonstrated good knowledge around the principals and practice of infection control, guided by relevant policies and supported with regular education.  </w:t>
      </w:r>
    </w:p>
    <w:p w:rsidRPr="00A4268A">
      <w:pPr>
        <w:spacing w:before="240" w:line="276" w:lineRule="auto"/>
        <w:rPr>
          <w:rFonts w:eastAsia="Calibri"/>
        </w:rPr>
      </w:pPr>
      <w:r w:rsidRPr="00A4268A">
        <w:rPr>
          <w:rFonts w:eastAsia="Calibri"/>
        </w:rPr>
        <w:t>Age care specific infection surveillance is undertaken, with data analysed, benchmarked and results reported through to all levels of the organisation.  Follow 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61"/>
        <w:gridCol w:w="1280"/>
        <w:gridCol w:w="90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Horowhenua Masonic Village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new staff employed and is part of the ongoing yearly training programme,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principals and practice of informed consent.  Informed consent policies provide relevant guidance to staff.  Clinical files reviewed showed that informed consent has been gained appropriately using the organisation’s standard consent form including for photographs and outings.  Advance care planning, establishing and documenting enduring power of attorney requirements and processes for residents is defined and documented, as relevant, in the resident’s record.  Staff demonstrated their understanding by being able to explain situations when this may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gaining consent for day-to-day care on an ongoing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service are on display and available throughout the facility.  Family members and residents spoken to were aware of the Advocacy Service, how to access this and their rights to have a support person.  There is an independent facility advocate who comes in once a month and chairs the residents’ meetings, types up and distributes the minutes and reports back to management.  Staff are also aware of how to access the Advocacy Service if this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encourages visits from family and friends, family members interviewed stated they felt welcome when they visited and comfortable in their dealings with the staff.  There is a family/whanau room available and several lounges throughout.  Family can stay if there is a spare room so they can support their relative should they be receiving palliative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The information is provided to residents and families on admission and complaints information and forms are available at the main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has been received since the previous audit and this have been entered into the complaint register. Complaint documentation was reviewed and actions taken were recorded and completed within the timeframes specified in the Code. Action plans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responsible for complaint management and follow-up. Staff interviewed confirmed a sound understanding of the complaint process and what actions are required. A section 31 notice was sent to HealthCERT as a result of the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 investigations by external agencies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interviewed, the residents and family/whanau of Horowhenua Masonic Village reported being made aware of the Code and the Nationwide Health and Disability Advocacy Service (Advocacy Service) as part of the admission information provided and from discussion with staff.  The Code is displayed in English and Māori throughout the facility and each resident has a copy of this in the information folder in their rooms.  Information on how to make a complaint and provide feedback is available in each of the three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confirmed that services are provided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by ensuring resident information is held securely and privately, when exchanging verbal information and during discussion with families and the GP.  All residents have a private room.  There are several lounges located throughout the facility providing quiet areas to chat away from the main communal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community activities and quite often the community activity comes to them.  Each resident’s care plan includes documentation related to the resident’s abilities and strategies to maintain and maximise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have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be occurring during the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at Horowhenua Masonic Village that identified as Māori.  Staff support residents who identify as Māori to integrate their cultural values and beliefs.  The principals of the Treaty of Waitangi are incorporated into day-to-day practice, as is the importance of whanau.  There is a current Māori health plan and a Māori health group which meet bi-monthly; minutes were reviewed during the audit.  Residents are encouraged to access the marae and local kaumatua.  Guidance on tikanga best practice is available and there are staff who identify as Māori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verified that they were consulted on their individual culture, values and beliefs and that staff respected these.  There are a number of staff who can act as interpreters otherwise they would access an external service. Residents’ personal preferences required interventions and special needs were included in all care plans that were reviewed.  For example, likes and dislikes and attention to preferences around activities of daily living.  A resident satisfaction survey confirmed that the resident’s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that residents were free from discrimination, harassment or exploitation and felt safe.  The facility general practitioner also expressed satisfaction with the standard of services provided to the residents.  The induction process for staff includes education related to professional boundaries and expected behaviour to support good practice.  Staff are guided by policies and procedures and demonstrated a clear understanding of the process they would follow, should they suspect any form of exploitation.  There is an independent care facility advocate who visits once a month, and if required is able to read the residents’ survey to them so it remains totally independent.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project has been undertaken that has significantly reduced the rate of falls in unit 3. This has been awarded a continuous improvement rating.</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and encourages good practice through evidence-based policies, input from external specialist services and allied health professionals, for example hospice, wound care specialists, dieticians, podiatrist and education for staff.  The GP confirmed that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they receive management support for external education and access their own professional networks. There are currently 11 staff completing an HCL computing course which runs for twenty weeks.   Ongoing yearly training for RNs and care staff is provided in house, with education provided by the Parkinson’s nurse and Hospice with staff on the waiting lists for palliative care and pressure injury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they are advised in timely manner about any incidents or accidents and the outcomes of regular or urgent medical reviews.  This was clearly documented in the residents’ records that were reviewed.  There was also evidence of resident/family input into the care planning process.  Staff understood the principals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an interpreter service and there are also members of staff who are bilingual.  A resident with English as a second language has family members to assist if required, they are also able to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Masonic Care Limited is governed by a trust board that is responsible for setting the strategic direction and the service. The strategic business plan 2016-2021, which is currently under review, includes a purpose, vision and values. There are four goals: to be sustainable; to provide consumer centred care; to achieve on-going quality improvements and to be the best place to work. The service philosophy is in an understandable form and is available to residents and their family / representative, or other services involved in referring clients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chief executive (CE) stated that for Masonic Care to move forward the Board recognised the need to involve all staff within the organisation at the different levels concerning the strategic goals. With this in mind, a director of nursing quality and risk (DON) role has been established and a clinical governance committee has recently been formed. The first meeting was held on the 3 June 2021. The purpose of this group is to ensure Masonic Care Ltd is accountable for continuously improving the quality of the care provided and safeguarding high standards of care by creating an environment of excellence. The clinical governance committee is also charged with providing strategic direction and clinical leadership by making recommendations to the Board of Masonic Care Ltd. The four strategic goals are continuously measured and reported on by the clinical governance group, including reporting back to all the facilities within the group.</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(VM) has frequent contact with the DON and clinical reports are provided to the DON who in turn reports to the CE and the Board. Information, including quality data is accessed via the electronic system. The DON and CE reported they work closely and discuss all activities concerning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senior management team meet weekly with the VM and set the weeks activities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an experienced village manager who has been in the position for 12 years. The village manager has a background in physiotherapy and is supported by a clinical nurse manager (CNM) who is an experienced RN and has been in the role for 11 months. The CNM prior to this role was one of the charge nurses working in the facility. The CNM is responsible for oversight of the clinical services.</w:t>
            </w:r>
          </w:p>
          <w:p w:rsidR="00EB7645" w:rsidRPr="00BE00C7" w:rsidP="00BE00C7">
            <w:pPr>
              <w:pStyle w:val="OutcomeDescription"/>
              <w:spacing w:before="120" w:after="120"/>
              <w:rPr>
                <w:rFonts w:cs="Arial"/>
                <w:b w:val="0"/>
                <w:lang w:eastAsia="en-NZ"/>
              </w:rPr>
            </w:pPr>
            <w:r w:rsidRPr="00BE00C7">
              <w:rPr>
                <w:rFonts w:cs="Arial"/>
                <w:b w:val="0"/>
                <w:lang w:eastAsia="en-NZ"/>
              </w:rPr>
              <w:t>Review of the managers' personal files and interview of the VM and CNM evidenced they have undertaken on-going education in relevant areas including attending conferences and forums.</w:t>
            </w:r>
          </w:p>
          <w:p w:rsidR="00EB7645" w:rsidRPr="00BE00C7" w:rsidP="00BE00C7">
            <w:pPr>
              <w:pStyle w:val="OutcomeDescription"/>
              <w:spacing w:before="120" w:after="120"/>
              <w:rPr>
                <w:rFonts w:cs="Arial"/>
                <w:b w:val="0"/>
                <w:lang w:eastAsia="en-NZ"/>
              </w:rPr>
            </w:pPr>
            <w:r w:rsidRPr="00BE00C7">
              <w:rPr>
                <w:rFonts w:cs="Arial"/>
                <w:b w:val="0"/>
                <w:lang w:eastAsia="en-NZ"/>
              </w:rPr>
              <w:t>Horowhenua Masonic Village is certified to provide hospital level and rest home level care with 14 bedrooms and the nine care suites approved as dual-purpose.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has contracts with the DHB for aged related residential care services (68 residents - 36 rest home, including five Occupation Right Agreements (ORAs) and 25 hospital level care, including three ORAs), and complementary care services (three rest home and one hospital level). Contracts are also held with the MoH for three YPDs under the age of 65 years (one hospital and two rest home level).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the village manager is absent, the clinical nurse manager, operations manager and administrator will cover.  During the absence of the CNM, the charge nurses will cover the clinical services with support from the DON and the quality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management framework including dimensions of quality, objectives, quality improvements and quality assurance guides the quality programme. The quality improvement register is current. Quality initiatives continue to be developed and implemented following trends being identified. (Link to 1.1.8.1)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is collected, collated and comprehensively analysed, including audits, incidents/accidents, surveys and clinical indicators and this is entered into an electronic programme provided by an external company. The programme produces graphs, reports and benchmarking with other like facilities. Quality/infection prevention and control, registered nurse/restraint, staff, health and safety, and residents’ meetings are held regularly. Meeting minutes reviewed confirmed this and evidenced reporting back to staff of corrective actions and trends as a result of analysing quality data. Staff interviewed confirmed this. A monthly newsletter is produced by the quality team that has good information for staff and is discussed at the quality and RN meetings. </w:t>
            </w:r>
          </w:p>
          <w:p w:rsidR="00EB7645" w:rsidRPr="00BE00C7" w:rsidP="00BE00C7">
            <w:pPr>
              <w:pStyle w:val="OutcomeDescription"/>
              <w:spacing w:before="120" w:after="120"/>
              <w:rPr>
                <w:rFonts w:cs="Arial"/>
                <w:b w:val="0"/>
                <w:lang w:eastAsia="en-NZ"/>
              </w:rPr>
            </w:pPr>
            <w:r w:rsidRPr="00BE00C7">
              <w:rPr>
                <w:rFonts w:cs="Arial"/>
                <w:b w:val="0"/>
                <w:lang w:eastAsia="en-NZ"/>
              </w:rPr>
              <w:t>Resident/family satisfaction surveys for 2021 have been collated and corrective actions have been developed and implemented. Review of results evidenced a high rate of satisfaction with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relevant to the scope and complexity of the service, reflect current accepted good practice, and reference legislative requirements. Policies have been allocated a risk rating and are reviewed from one to four years based on the rating. Policies / procedures have been reviewed and are current. Obsolete policies are archived in the electronic system. Staff are notified via the quality newsletter of reviewed and updated/new policies. Discussion is held at various meetings and staff access the policies electronically. Staff confirmed they are advised of updated policies and that the policies and procedures provide appropriate guidance for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includes a matrix and hazard/risk register that is comprehensive and includes risks associated with clinical, human resources, legislative compliance, contractual and environmental risk. The hazard/risk register includes actual and potential hazards and the actions put in place to minimise or eliminate each hazard. Newly found hazards are communicated to staff and residents as appropriate. Staff confirmed they understood and implemented documented hazard identification processes.  Minutes of the health and safety meetings evidenced a different topic is promoted by staff each month (e.g., slips, trips and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incident/accident forms. These are reviewed by the RNs on duty who either investigate and signs off as closed, or if required, escalate to the CNM and quality coordinator. The CNM is responsible for managing these, and if serious or critical, the village manager and CE are advised. Documentation reviewed and interviews of staff indicated appropriate management of adverse events. The quality coordinator is responsible for entering all incident/accidents into the register.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comply with essential notification reporting. Staff stated they are made aware of their essential notification responsibilities through job descriptions, policies and procedures, and professional codes of conduct. Review of staff files and other documentation confirmed this. The VM reported there have been 13 section 31 notifications to HealthCERT since the previous audit consisting of 12 pressure injuries, five of which were acquired externally. The thirteenth was the notification following a complaint. The VM advised the employment of a new CNM since the previous audit, has been notified to HealthCERT.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reviewed included job descriptions which outline accountability, responsibilities and authority, employment agreements, references, completed orientation, competency assessments, education records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is robust and includes a comprehensive orientation book for both nonclinical and clinical staff with competencies. All new staff are required to complete this. The workbook is completed within six weeks to three months of employment. Staff performance is reviewed at the end of this period and annually thereafter.  Orientation for staff covers all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In-service education is provided for staff using several ways including half day study days repeated three times during the month of October, ‘toolbox talks’ at handover, specific topics relating to residents’ health status and staff meetings. The local DHB and hospice also provide an education programme for RNs and staff attend other external education. Individual records of education are held electronically. Competencies were current including medication management and restraint. Attendance records are maintained. Of the 13 RNs, six are interRAI trained and have current competencies. All RNs, some care staff and others including the activities staff and maintenance staff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Zealand Qualification Authority education programme (Careerforce) is available for staff to complete, and they are encouraged to do so. Two staff members are Careerforce assessors. Nine care staff have attained level two, 21 have attained level three and 19 have attained level four. </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 to provide safe service delivery. The rosters evidenced staffing levels exceed the minimum requirements. The CNM reported the rosters are reviewed continuously and dependency levels of residents and the physical environments are considered. The VM, CNM and charge nurses work full time. The three units have individual rosters. Each unit has an RN rostered on duty on the morning (charge nurse). In the afternoon shifts two to three RNs work facility wide, and one RN is based in unit one on the night shift. The CNM and charge nurses are rostered on-call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13 RNs, one is a new graduate with the rest of the RNs ranging from two years to 10 years’ experience working in aged care. Fifty-one health care assistants are employed to cover the three shifts and additional hours are available if the acuity levels of residents increase. The rostering includes the ORA care suites which are included within the facility footprint. </w:t>
            </w:r>
          </w:p>
          <w:p w:rsidR="00EB7645" w:rsidRPr="00BE00C7" w:rsidP="00BE00C7">
            <w:pPr>
              <w:pStyle w:val="OutcomeDescription"/>
              <w:spacing w:before="120" w:after="120"/>
              <w:rPr>
                <w:rFonts w:cs="Arial"/>
                <w:b w:val="0"/>
                <w:lang w:eastAsia="en-NZ"/>
              </w:rPr>
            </w:pPr>
            <w:r w:rsidRPr="00BE00C7">
              <w:rPr>
                <w:rFonts w:cs="Arial"/>
                <w:b w:val="0"/>
                <w:lang w:eastAsia="en-NZ"/>
              </w:rPr>
              <w:t>Most of the laundry is managed by an external contractor and care staff are responsible for managing small items and residents’ personal clothes. Four activities coordinators are employed (two are currently completing the diversional therapy course). Five staff members are responsible for maintaining the environment including the lawns and gardens.</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adequate staff available and that they were able to complete the work allocated to them. Residents and families reported they are happy with the staffing levels and there are enough staff on duty that provides them or their relative with a high standard of care. Observations during the audit confirmed good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are legible with the name and designation of the person stamped beside the entry.</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in the administration block on site and are readily retrievable.  Resident’s records are held for the required period of time before being destroyed.  No personal or private resident information was on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admitted to Horowhenua  Masonic Village following assessment from the local Support Links Service, as requiring the level of care that Horowhenua Masonic Village provides.  Prospective residents and their families are encouraged to visit the facility prior to admission and are provided with written information about the service and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prior to admission have a COVID-19 screen and the facility are guided by MOH guidelines.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they were happy with the admission process and the information that had been provided to them.  Files reviewed contained the completed demographic information, assessments, and signed admission agreements in accordance with the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MidCentral District Health Boards ‘Pink envelope’ system to facilitate the transfer of residents to and from acute care settings.  There is open communication between all services, the residents, and the family.  At the time of transition between services, appropriate information, including medication records and the care plan, is provided for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on night shift signs in the medications against the prescription, then signs and dates each blister pack. All medications sighted were within current use by dates. Clinical pharmacist input is provided as required.  Controlled drugs are stored securely in accordance with requirements and checked by two staff for accuracy when administering. The controlled drug register provided evidence of weekly and six-monthly stock checks and accurate entries.  Controlled drugs are signed in and a pharmacy check is carried out every six months and this was evidenced in the controlled drugs register.</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did not have temperature records taken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these included the prescriber’s signature and date recorded on the commencement and discontinuation of medicines and all requirements for pro re nata (PRN) medicines met.  The required three-monthly GP review was consistently recorded on the medicine chart.  Standing orders are as per the policy and any verbal orders are rare and must be given to the RN, then prescribed in medimap before being administered. Facility GP’s have remote access to medimap.  The documentation is then signed and scanned into the electronic patient notes.  Vaccines are not stored on site.  Pharmacy gives the required COVID-19 vaccines, and as of the 24 June, 68% of staff are vaccinated and 83% of residents with the exception of those who did not want to be vaccinated.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with a cook and kitchen team and is in line with recognised nutritional guidelines for older people.  The menu follows summer and winter patterns and has been reviewed by a qualified dietician on the 9 May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Ministry of Primary industries on the 17 March 2020, for 2 years with a grading certificate ‘A’. At time of audit, the kitchen was observed to be clean and the cleaning schedule was maintained.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including for high-risk items, are monitored and recorded as part of the plan using a paper base recording system.</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The kitchen provides a varied menu which supports residents with specific cultural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families/whānau interviews, satisfaction surveys and in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resident does not meet the entry criteria, there are no vacancies, or the referral has been declined from the service due to inappropriate referral from Support Links, there is a process in place to ensure that the prospective resident and family are supported to find an appropriate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the resident change and they are no longer suitable for the services offered a referral for reassessment is made to Support Links and a new placement is found in consultation with the resident and the whanau/family.  Examples of this occurring were discussed with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Horowhenua Masonic Village are assessed using a range of nursing assessment tools, such as pain scale, falls risk, skin integrity, cognition and behaviour, nutrition, activities, physiotherapy, dietitian, to identify any deficits and to inform initial care planning.  Within three weeks of admission, residents (except for respite, ACC and YPD residents) are accessed using the interRAI assessment tool, to inform long term care planning.  Reassessment using the interRAI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Those long-term residents not being assessed using the interRAI assessment tool have clinical assessments to inform care planning, these are reviewed every six months or if the resident’s needs change.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documentation, and observation verified the RNs are familiar with requirements for reassessment of a resident using the interRAI assessment tool when a resident has increasing or changing needs.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one of the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at Horowhenua Masonic Village are paper based. When reviewed they reflected the support needs of the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was documented and verbally passed on to relevant staff.  Residents and family/whanau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residents and families verified that the care provided to the residents was consistent with their needs, goals and plan of care.  The attention to meeting a diverse range of residents’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confirmed that medical orders are carried out in a timely manner and staff are very proactive at contacting the GP should a resident’s condition change.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equipment and resources were available and suited to the levels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four part time activities co-ordinators who support the residents Monday to Friday 9.00am till 5.00 pm and on Saturday 9.00 am until 3.00 pm.  Two of the co-ordinators are currently training and the activities co-ordinator who oversees the programme in conjunction with the clinical nurse manager and village manager opted not to do the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assessment is completed and a cultural history undertaken on admission to ascertain the resident’s needs, interests, abilities and social requirements.  Activities assessments are regularly reviewed to help formulate a plan that is meaningful to the resident.  The activities are evaluated daily and documented once a week and as part of a six monthly multidisciplinary care plan review.  There are two residents who identify as Māori and they are greeted in their native tongue and support is given to anything culturally appropriate for them.  They celebrate Matariki and are currently preparing for Māori language week.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the residents’ goals, ordinary patterns of life and included normal community activities, regular church services, ‘housie’, knitting and visiting entertainers.  There are individual and group activities offered and a regular weekly van outing.  There are gender specific activities for female and male residents.  Hospital residents have a separate activity programme.  There are several lounge areas and an activities room as well as the individual’s bedrooms where they have the opportunity to watch their own television or listen to the radio.  The Activities Calendar is on display and each resident is given a copy of the monthly activities available for them to participate in.  It emphasises and celebrates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have the opportunity to evaluate the programme through day-to-day discussions with the activities co-ordinator and by completing the annual resident satisfaction survey.   Residents interviewed confirmed the programme was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each shift and reported on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 monthly interRAI/clinical reassessment or as the residents’ needs change.  Evaluations are documented by the RN.   Where progress is different from that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consistently reviewed for infections, pain, weight loss, and progress evaluated as clinically indicated and according to the degree of risk noted during the assessment process.  Other plans, such as wound management plans, were evaluated each time the dressings were changed.  Residents and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two main medical providers, residents may choose to use another medical practitioner.  If the need for other non-urgent services are indicated or requested, the GP or RN sends a referral to seek specialist input.  Copies of referrals were sighted in the residents’ files, including to the tissue viability nurse.  The resident and the family/whanau are kept informed of the referral process, as verified by documentation and interviews.  Any acute/urgent referrals are attended to immediately, such as ringing an ambulance if the situation dictates.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specify labelling requirements in line with legislation. Documented processes for the management of waste and hazardous substances are in place. Incidents are reported in a timely manner.  Safety data sheets were sighted and are accessible for staff. The hazard register is current. </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were sighted that is appropriate to recognised risks.  Protective clothing was observed being used by staff. Staff interviewed had a sound understanding of processes relating to the management of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is displayed at the front entrance that expires on the 1 June 2022.  Residents and families confirmed they can move freely around the facility and that the accommodation meets their or their relative’s needs. Passageways are wide enough and there is room for residents to pass comfortably in all areas.</w:t>
            </w:r>
          </w:p>
          <w:p w:rsidR="00EB7645" w:rsidRPr="00BE00C7" w:rsidP="00BE00C7">
            <w:pPr>
              <w:pStyle w:val="OutcomeDescription"/>
              <w:spacing w:before="120" w:after="120"/>
              <w:rPr>
                <w:rFonts w:cs="Arial"/>
                <w:b w:val="0"/>
                <w:lang w:eastAsia="en-NZ"/>
              </w:rPr>
            </w:pPr>
            <w:r w:rsidRPr="00BE00C7">
              <w:rPr>
                <w:rFonts w:cs="Arial"/>
                <w:b w:val="0"/>
                <w:lang w:eastAsia="en-NZ"/>
              </w:rPr>
              <w:t>There is a proactive and reactive maintenance programme, and the buildings, plant and equipment are maintained to a high standard.  Maintenance is undertaken by a team of maintenance staff who demonstrated good knowledge. The testing and tagging of electrical equipment and calibration of bio-medical equipment were current. Hot water temperatures at resident outlets are maintained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external areas available that are appropriate to the resident groups and setting. Large external courtyards with seating and shade are available for residents to frequent. The environment is conducive to the range of activities undertaken in the areas. Residents are protected from risks associated with being outside.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There is a mix of full ensuites and those with a wash hand basin and toilet. Two rooms do not have access to an ensuite; however, these rooms share a bathroom next to the rooms. </w:t>
            </w:r>
          </w:p>
          <w:p w:rsidR="00EB7645" w:rsidRPr="00BE00C7" w:rsidP="00BE00C7">
            <w:pPr>
              <w:pStyle w:val="OutcomeDescription"/>
              <w:spacing w:before="120" w:after="120"/>
              <w:rPr>
                <w:rFonts w:cs="Arial"/>
                <w:b w:val="0"/>
                <w:lang w:eastAsia="en-NZ"/>
              </w:rPr>
            </w:pPr>
            <w:r w:rsidRPr="00BE00C7">
              <w:rPr>
                <w:rFonts w:cs="Arial"/>
                <w:b w:val="0"/>
                <w:lang w:eastAsia="en-NZ"/>
              </w:rPr>
              <w:t>Bathrooms have appropriately secured and approved handrails provided in the toilet/shower areas and other equipment and accessories are available to promote independence. Separate bathrooms for staff and visitors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bedroom sizes with the care suites being specious. Adequate personal space in bedrooms is available to allow residents and staff to safely move around in. Equipment was sighted in the rooms with sufficient space for both the equipment and at least two staff and the resident. The residents’ rooms are personalised with their own furnishings, photos and other personal possessions. Residents and families are encouraged to make the room their own and stated their rooms are suitable for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numerous areas for residents to frequent. Good access is provided to the lounges and the dining room areas with residents observed moving freely. Residents confirmed there are alternate areas available to them if communal activities are being run in one of these areas. Resident and families commented they can also go to the chapel if they feel like a quiet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documented and guide services. The facility is cleaned to a high standard. There are processes in place for collection, transportation and delivery of linen and residents’ personal clothing. </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cleaning and laundry services is audited via the internal audit programme and visits from the chemical company representative.  Reports from the chemical company representative and completed audits for laundry and cleaning were reviewed.  Linen is laundered by an external contractor and care staff are responsible for residents personal washing and small general items.</w:t>
            </w:r>
          </w:p>
          <w:p w:rsidR="00EB7645" w:rsidRPr="00BE00C7" w:rsidP="00BE00C7">
            <w:pPr>
              <w:pStyle w:val="OutcomeDescription"/>
              <w:spacing w:before="120" w:after="120"/>
              <w:rPr>
                <w:rFonts w:cs="Arial"/>
                <w:b w:val="0"/>
                <w:lang w:eastAsia="en-NZ"/>
              </w:rPr>
            </w:pPr>
            <w:r w:rsidRPr="00BE00C7">
              <w:rPr>
                <w:rFonts w:cs="Arial"/>
                <w:b w:val="0"/>
                <w:lang w:eastAsia="en-NZ"/>
              </w:rPr>
              <w:t>There are safe and secure storage areas and staff have appropriate and adequate access to these areas, as required. Chemicals were labelled and stored safely within these areas, with a closed system in place. Sluice rooms are available for the disposal of soiled water/waste. Hand washing facilities and gel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stated they were satisfied with the cleaning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letter from the New Zealand Fire Service (NZFS) dated 9 April 2013 approving the fire evacuation scheme was sighted. The last drill was undertaken on the 24 June 2021 and a copy sent to the NZFS. Emergency and security management education is provided at orientation and at the in-service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Policy and procedures document service provider/contractor identification requirements along with policy/procedures for visitor identification.</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readily available/displayed for staff and residents. Emergency equipment was accessible, current and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call bell system in place that is used by the residents, families and staff members to summon assistance. All residents have access to a call bell. Call bells are checked by the maintenance staff. Residents confirmed they have a call bell and staff respond to it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processes for essential, emergency and security services. There is at least one designated staff member on each shift with appropriate first aid training. Staff records sampled evidenced current training regarding fire, emergency and security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in relation to emergency and security situations is displayed and available for staff and residents with evidence of emergency lighting, torches, gas and BBQ for cooking and extra food supplies. Emergency water is maintained in three tanks combining the amount available to 3,800 litres. Battery powered emergency lights and a generator are also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doors are locked in the evening and alarmed. The building externally has CCTV cameras operating and an external contractor checks the property several times per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heated by water filled heaters. There are also heat pumps in communal areas and electric wall heaters in the bathrooms.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are in place to ensure the service is responsive to residents’ feedback regarding heating and ventilation in the facility. Residents and families confirmed the facility is maintained at an appropriate temperature. </w:t>
            </w:r>
          </w:p>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and an environment that is maintained at a safe and comfortable temperature. The facility is smoke free.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Horowhenua Masonic Village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with input from the infection control nurse and quality manager.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unit charge nurse is the ICN with input from the quality manager and support of the CNM who was the previous ICN. Infection control matters, including surveillance results, are reported at bi-monthly meetings. The minutes are available for all staff to review.  Infection control data is included in monthly data which is collated into a board report for the group.  Results are shared with the RN’s then made available in each of the units.  Infection control statistics are entered into the quality management system and these are benchmarked.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provides guidance for staff about how long they must stay away from work if they are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the appropriate skills, knowledge and qualifications for the role and has been in the role for 20 months.  Additional support and information can be accessed from the infection control team at the DHB, the community laboratory, the GP and the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COVID-19 management plan in place and new admissions that come from the hospital are self-isolated for three days and their observations taken for two weeks. Those who are admitted from home have their observations taken for two weeks.  The plan details all the actions required by the service stream within the facility in response to each of the alert levels.</w:t>
            </w:r>
          </w:p>
          <w:p w:rsidR="00EB7645" w:rsidRPr="00BE00C7" w:rsidP="00BE00C7">
            <w:pPr>
              <w:pStyle w:val="OutcomeDescription"/>
              <w:spacing w:before="120" w:after="120"/>
              <w:rPr>
                <w:rFonts w:cs="Arial"/>
                <w:b w:val="0"/>
                <w:lang w:eastAsia="en-NZ"/>
              </w:rPr>
            </w:pPr>
            <w:r w:rsidRPr="00BE00C7">
              <w:rPr>
                <w:rFonts w:cs="Arial"/>
                <w:b w:val="0"/>
                <w:lang w:eastAsia="en-NZ"/>
              </w:rPr>
              <w:t>The ICN and the quality manager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reflected the requirements of the IPC standard and current accepted good practice.  Policy review is ongoing with a full review this year.  Care delivery, cleaning, laundry and kitchen staff were observed following organisational policies, such as appropriate use of hand sanitisers, good hand-washing technique and use of disposable aprons and gloves, as was appropriate to the setting.  Hand washing and sanitiser dispensers are distributed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in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respiratory tract and skin infections.  When an infection is identified, a record of this is documented in the resident’s clinical record. The IPC coordinator reviews all reported infections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analysed, and the results are shared with staff electronically and at RN and carer meetings and handovers.  Data is benchmarked externally which provides assurance on the facility’s infection rates and where they rate in the sector.</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and Horowhenua Masonic Village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who is an RN stated Horowhenua Masonic Village is committed to reducing restraint use. Equipment used includes sensor mats and ‘landing mats’. There were three residents using a restraint and three residents using an enabler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definition of a restraint and an enabler is congruent with the definition in the standard. The process of assessment, care planning, monitoring and evaluation of restraint and enabler use is recorded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approval process for enabler use is activated when a resident voluntarily requests an enabler to assist them to maintain independence and/or safety, as confirmed at staff and management interviews.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staff records evidenced restraint minimisation and safe practice (RMSP), enabler usage and prevention and/or de-escalation ongoing training is provided. Restraint training is included in the staff mandatory study days and staff competencies were current. The RN and quality meetings included restraint as a standard agenda item.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overseen by the restraint coordinator/RN and the responsibility for this position is defined in the position description. </w:t>
            </w:r>
          </w:p>
          <w:p w:rsidR="00EB7645" w:rsidRPr="00BE00C7" w:rsidP="00BE00C7">
            <w:pPr>
              <w:pStyle w:val="OutcomeDescription"/>
              <w:spacing w:before="120" w:after="120"/>
              <w:rPr>
                <w:rFonts w:cs="Arial"/>
                <w:b w:val="0"/>
                <w:lang w:eastAsia="en-NZ"/>
              </w:rPr>
            </w:pPr>
            <w:r w:rsidRPr="00BE00C7">
              <w:rPr>
                <w:rFonts w:cs="Arial"/>
                <w:b w:val="0"/>
                <w:lang w:eastAsia="en-NZ"/>
              </w:rPr>
              <w:t>Restraints are authorised following a comprehensive assessment/check list of the resident. The approval includes consultation with other staff, such as the charge nurse, the GP and the resident’s family. The restraint consent forms evidenced consent for restraint is obtained prior to using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were completed and identified restraint related risks, underlying causes for behaviour that requires restraint, existing advance directives, past history of restraint use, history of abuse and or trauma the resident may have experienced, culturally safe practices, identification of desired outcomes and possible alternatives to restraint. There was evidence that all enabler and restraint use was initiated following completion of appropriate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stated that restraints are used as a last resort after alternative interventions have been explored. The restraint register was current and meets the standard. Staff have current restraint competency assessments.</w:t>
            </w:r>
          </w:p>
          <w:p w:rsidR="00EB7645" w:rsidRPr="00BE00C7" w:rsidP="00BE00C7">
            <w:pPr>
              <w:pStyle w:val="OutcomeDescription"/>
              <w:spacing w:before="120" w:after="120"/>
              <w:rPr>
                <w:rFonts w:cs="Arial"/>
                <w:b w:val="0"/>
                <w:lang w:eastAsia="en-NZ"/>
              </w:rPr>
            </w:pPr>
            <w:r w:rsidRPr="00BE00C7">
              <w:rPr>
                <w:rFonts w:cs="Arial"/>
                <w:b w:val="0"/>
                <w:lang w:eastAsia="en-NZ"/>
              </w:rPr>
              <w:t>Staff were aware of advocacy services and that support is available. The contact details for this service are documented and the service can be accessed when needed to inform residents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Residents using restraint have a restraint care plan. Review of residents’ files confirmed this. Documentation in the residents’ files relating to risk around restraint is individualised and evidenced good detail.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confirmed evaluations of the restraints are completed at three-monthly intervals in line with the GP reviews. Evaluation and review of restraints meet the standard. The restraint coordinator confirmed communication with families regarding restraint and enabler use and discussions are held around reducing or minimising any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monitoring and quality review of restraint use is managed through monthly reports provided and discussed at the RN and quality meetings. A restraint audit is completed six monthly and the coordinator writes a full report six monthly. Review of documentation including meeting minutes and interview of the restraint coordinator confirmed this.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43"/>
        <w:gridCol w:w="1280"/>
        <w:gridCol w:w="6310"/>
        <w:gridCol w:w="45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data report recorded the percentage of falls occurring in unit 3 accounted for between 59% and 72% of all falls occurring in the facility in a four-month period. The number of falls per month in unit 3 were between 18 and 28 for this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group was formed which included unit 3 health care assistants and RNs to raise awareness of the falls rate in unit 3, identify potential contributors to the high number of falls and identify actions to trial/implement. During the project the impact of the interventions was monitored and opportunities for practice changes that could be shared with other areas of the facility were identified. </w:t>
            </w:r>
          </w:p>
          <w:p w:rsidR="00EB7645" w:rsidRPr="00BE00C7" w:rsidP="00BE00C7">
            <w:pPr>
              <w:pStyle w:val="OutcomeDescription"/>
              <w:spacing w:before="120" w:after="120"/>
              <w:rPr>
                <w:rFonts w:cs="Arial"/>
                <w:b w:val="0"/>
                <w:lang w:eastAsia="en-NZ"/>
              </w:rPr>
            </w:pPr>
            <w:r w:rsidRPr="00BE00C7">
              <w:rPr>
                <w:rFonts w:cs="Arial"/>
                <w:b w:val="0"/>
                <w:lang w:eastAsia="en-NZ"/>
              </w:rPr>
              <w:t>Residents at high risk of falling and interventions to try and reduce the number of falls were identified. Falls literature including from ACC, the Frailty Care Guidelines 2019 and an internet search were undertaken. The quality coordinator and clinical nurse manager reviewed the facility’s policies and falls related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data was reviewed to look at the day of the week, time-of-day falls were occurring and associated activities prior to the falls occurring to see if patterns could be identified. ‘Measles maps’ were developed to track when falls occurred. They were colour coded to identify the shift that falls occurred on, to look for trends. The measles maps were displayed in the unit 3 office so staff could track their progress and see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Pads were purchased to use on chairs to help prevent residents from slipping out. Strategies, such as intentional rounding, were discussed with staff and introduced.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forms were reviewed and changes to the formatting agreed.  A space was made on the incident and accident forms so that the RN reviewing the fall could document actions to help prevent another fall from occurring. Previously the forms recorded information about the fall but there was no evidence or focus on strategies to prevent further falls from occurring. The newly formatted form was then trailed by unit 3 staff. </w:t>
            </w:r>
          </w:p>
          <w:p w:rsidR="00EB7645" w:rsidRPr="00BE00C7" w:rsidP="00BE00C7">
            <w:pPr>
              <w:pStyle w:val="OutcomeDescription"/>
              <w:spacing w:before="120" w:after="120"/>
              <w:rPr>
                <w:rFonts w:cs="Arial"/>
                <w:b w:val="0"/>
                <w:lang w:eastAsia="en-NZ"/>
              </w:rPr>
            </w:pPr>
            <w:r w:rsidRPr="00BE00C7">
              <w:rPr>
                <w:rFonts w:cs="Arial"/>
                <w:b w:val="0"/>
                <w:lang w:eastAsia="en-NZ"/>
              </w:rPr>
              <w:t>The group agreed to changes to the resident falls risk assessment and intervention plan documents.  Unit 3 staff trialled the use of purple dots on the door of residents at high risk of falling. This strategy has been implemented across the facility. Graphs were provided to unit 3 staff regularly so they could assess progress. Registered nurses were updated on progress with the project at their meetings.</w:t>
            </w:r>
          </w:p>
          <w:p w:rsidR="00EB7645" w:rsidRPr="00BE00C7" w:rsidP="00BE00C7">
            <w:pPr>
              <w:pStyle w:val="OutcomeDescription"/>
              <w:spacing w:before="120" w:after="120"/>
              <w:rPr>
                <w:rFonts w:cs="Arial"/>
                <w:b w:val="0"/>
                <w:lang w:eastAsia="en-NZ"/>
              </w:rPr>
            </w:pPr>
            <w:r w:rsidRPr="00BE00C7">
              <w:rPr>
                <w:rFonts w:cs="Arial"/>
                <w:b w:val="0"/>
                <w:lang w:eastAsia="en-NZ"/>
              </w:rPr>
              <w:t>Documentation reviewed evidenced the number of falls per month steadily reduced from 28 to 8 in the following six-month period. The number of falls in all units continues to be monitored and the percentage of falls in unit 3 continues to decrease and be consistent with the other two units.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initiative was undertaken to reduce the number of residents’ falls in unit 3 following analysis of data. Meetings were held and a plan implemented with strategies to reduce the high falls rate. This has resulted in the falls rate reducing significantly and remains consistently low in line with the other two units.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Horowhenua Masonic Village</w:t>
    </w:r>
    <w:bookmarkEnd w:id="58"/>
    <w:r>
      <w:rPr>
        <w:rFonts w:cs="Arial"/>
        <w:sz w:val="16"/>
        <w:szCs w:val="20"/>
      </w:rPr>
      <w:tab/>
      <w:t xml:space="preserve">Date of Audit: </w:t>
    </w:r>
    <w:bookmarkStart w:id="59" w:name="AuditStartDate1"/>
    <w:r>
      <w:rPr>
        <w:rFonts w:cs="Arial"/>
        <w:sz w:val="16"/>
        <w:szCs w:val="20"/>
      </w:rPr>
      <w:t>3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