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Claud Switzer Memorial Trust Board - Switzer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Claud Switzer Memorial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Switzer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August 2021</w:t>
      </w:r>
      <w:bookmarkEnd w:id="7"/>
      <w:r w:rsidRPr="009418D4">
        <w:rPr>
          <w:rFonts w:cs="Arial"/>
        </w:rPr>
        <w:tab/>
        <w:t xml:space="preserve">End date: </w:t>
      </w:r>
      <w:bookmarkStart w:id="8" w:name="AuditEndDate"/>
      <w:r w:rsidR="00A4268A">
        <w:rPr>
          <w:rFonts w:cs="Arial"/>
        </w:rPr>
        <w:t>11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Switzer Residential Care provides rest home, hospital, and dementia level of care for up to 92 residents.  On the day of the audit there were 91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trust board employs a chief executive officer (RN), a facilities manager, a human resources manager, and two nurse managers to implement the strategic plan and oversee the day-to-day operations of all services.  All managers are well qualified for their roles.  There are well developed and implemented systems and policies to guide appropriate quality care for residents.  A quality programme is being implemented.  An induction programme and in-service training programme is in place that provides staff with appropriate knowledge and skills to deliver care.  The residents and relatives spoke very positively about the care and supports provided at Switzer residential care.</w:t>
      </w:r>
    </w:p>
    <w:p w:rsidRPr="00A4268A">
      <w:pPr>
        <w:spacing w:before="240" w:line="276" w:lineRule="auto"/>
        <w:rPr>
          <w:rFonts w:eastAsia="Calibri"/>
        </w:rPr>
      </w:pPr>
      <w:r w:rsidRPr="00A4268A">
        <w:rPr>
          <w:rFonts w:eastAsia="Calibri"/>
        </w:rPr>
        <w:t>There were improvements identified around performance appraisals, interRAI assessments and medication competencies.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Switzer Residential Care provides care in a way that focuses on the individual resident.  There is a Māori health plan and cultural safety policy supporting practice.  Cultural assessment is undertaken on admission and during the review processes.  Policies are implemented to support individual rights such as privacy, dignity, abuse/neglect, culture, values and beliefs, complaints, advocacy, and informed consent. </w:t>
      </w:r>
    </w:p>
    <w:p w:rsidRPr="00A4268A">
      <w:pPr>
        <w:spacing w:before="240" w:line="276" w:lineRule="auto"/>
        <w:rPr>
          <w:rFonts w:eastAsia="Calibri"/>
        </w:rPr>
      </w:pPr>
      <w:r w:rsidRPr="00A4268A">
        <w:rPr>
          <w:rFonts w:eastAsia="Calibri"/>
        </w:rPr>
        <w:t>The service functions in a way that complies with the Health and Disability Commissioner Code of Health and Disability Services Consumers' Rights (the Code).  Information about the Code and related services is readily available to residents and families. Care plans accommodate the choices of residents and/or their family.  Complaints processes are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Switzer Residential Care has implemented a quality and risk management system that supports the provision of clinical care.  Key components of the quality management system link to a number of meetings including monthly quality assurance meetings.  An annual resident satisfaction survey is completed and there are monthly resident meetings.  Quality performance is reported to staff and includes a summary of incidents, infections, and internal audit results.  There is a health/safety and risk management programme in place.  </w:t>
      </w:r>
    </w:p>
    <w:p w:rsidRPr="00A4268A">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and support and external training is supported.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There is sufficient information gained through the initial support plans, specific assessments, and the care plans to guide staff in the safe delivery of care to residents.  The care plans are resident, and goal orientated and reviewed every six months or earlier if required, with input from the resident/family as appropriate.  Files sampled identified that the integration of allied health and a team approach is evident in the overall resident file.  There is a three-monthly general practitioner review.  </w:t>
      </w:r>
    </w:p>
    <w:p w:rsidRPr="00A4268A" w:rsidP="00621629">
      <w:pPr>
        <w:spacing w:before="240" w:line="276" w:lineRule="auto"/>
        <w:rPr>
          <w:rFonts w:eastAsia="Calibri"/>
        </w:rPr>
      </w:pPr>
      <w:r w:rsidRPr="00A4268A">
        <w:rPr>
          <w:rFonts w:eastAsia="Calibri"/>
        </w:rPr>
        <w:t xml:space="preserve">The activities team implements a varied activities programmes to meet the individual needs, preferences, and abilities of the residents.  Community links are maintained.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enrolled nurses who administer medications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Residents' food preferences and dietary requirements are identified on admission and all meals are cooked on-site.  This includes consideration of any particular dietary preferences or needs.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warrant of fitness and an approved fire evacuation plan.  There is at least one staff member on each shift with a first aid certificate.  Rooms are single accommodation with the exception of one double room in kowhai wing.  Bedrooms in three wings have their own ensuite.  There are adequate communal toilets and showers.  </w:t>
      </w:r>
    </w:p>
    <w:p w:rsidRPr="00A4268A">
      <w:pPr>
        <w:spacing w:before="240" w:line="276" w:lineRule="auto"/>
        <w:rPr>
          <w:rFonts w:eastAsia="Calibri"/>
        </w:rPr>
      </w:pPr>
      <w:r w:rsidRPr="00A4268A">
        <w:rPr>
          <w:rFonts w:eastAsia="Calibri"/>
        </w:rPr>
        <w:t xml:space="preserve">The home is warm and resident rooms are personalised.  There is a large central lounge area and a spacious dining room in the main hospital/rest home and dementia areas.  There are effective waste management systems in place and chemicals are stored safely.  The facility has two minibuses available for transportation of residents, one being wheelchair accessible.  Staff that transport residents hold current first aid certificates.  </w:t>
      </w:r>
    </w:p>
    <w:p w:rsidRPr="00A4268A">
      <w:pPr>
        <w:spacing w:before="240" w:line="276" w:lineRule="auto"/>
        <w:rPr>
          <w:rFonts w:eastAsia="Calibri"/>
        </w:rPr>
      </w:pPr>
      <w:r w:rsidRPr="00A4268A">
        <w:rPr>
          <w:rFonts w:eastAsia="Calibri"/>
        </w:rPr>
        <w:t xml:space="preserve">Dedicated staff manage cleaning and laundry services.  There are systems in place for emergency management and there is at least three days of emergency supplies stored on-site.  Solar heating supplies the dementia wing with heated wall panels throughout the facility and underfloor heating in two wings.  The facilities manager monitors internal temperatures.  There is a designated smoking area within the grounds.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documented definition of restraint and enablers that align with the definition in the standards.  There is a restraint register, which also records residents who require the use of an enabler.  The restraint approval process is undertaken with the resident, family, and other health professionals.  All parties sign restraint consent forms.  The use of enablers is clearly described in policy and procedure, to be used on a voluntary basis and to help them maintain physical and/or psychological independence.  On the day of audit there were eight residents with restraint and 14 residents with an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(nurse manager) is responsible for coordinating education and training for staff.  The infection control coordinator (ICC) has completed annual training provided internally and has access to external training provided by the local DHB.  There is a suite of infection control policies and guidelines available to support practice.  The ICC uses the information obtained through surveillance to determine infection control activities, resources and education needs within the facility.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0"/>
        <w:gridCol w:w="1280"/>
        <w:gridCol w:w="101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Interviews were held with the following managers (chief executive officer, Human Resource (HR) manager, facility manager, two nurse managers) and staff (six caregivers [care partners], five registered nurses (RN), two enrolled nurses (EN), cook, one activities coordinator, diversional therapist (DT), training coordinator, administrator/quality coordinator, supervisor cleaning and laundry, operations manager (kitchen) and consultant to the facility manager.  All confirmed their familiarity with the Code.  </w:t>
            </w:r>
          </w:p>
          <w:p w:rsidR="00EB7645" w:rsidRPr="00BE00C7" w:rsidP="00BE00C7">
            <w:pPr>
              <w:pStyle w:val="OutcomeDescription"/>
              <w:spacing w:before="120" w:after="120"/>
              <w:rPr>
                <w:rFonts w:cs="Arial"/>
                <w:b w:val="0"/>
                <w:lang w:eastAsia="en-NZ"/>
              </w:rPr>
            </w:pPr>
            <w:r w:rsidRPr="00BE00C7">
              <w:rPr>
                <w:rFonts w:cs="Arial"/>
                <w:b w:val="0"/>
                <w:lang w:eastAsia="en-NZ"/>
              </w:rPr>
              <w:t>Training around the Code, advocacy, informed consent, privacy, and elderly abuse are part of the mandatory training day that staff undertake. These are offered during the year and staff are required to attend one session.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ten resident files, two dementia, five hospital (including one YPD and one LTS-CHC) and three rest home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Care partners and registered nurses (RNs)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and Advocacy pamphlets on entry.  Interviews with the general manager and nurse manager confirm practice.  Residents interviewed confirm that they are aware of their right to access advocacy.  Discussions with relatives confirm that the service provides opportunities for the family/EPOA to be involved in decisions.  The resident files include information on residents’ family/whānau and chosen social networks.  Staff receive education and training on the role of advocacy services. The nationwide advocate visits the service annually and as required and observes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residents and relatives confirmed that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Residents interviewed confirm the activity staff help them access the community such as going shopping, going on sight-seeing tours, and going to church.  Residents identified as under a Young Person with a Disability (YPD) contract and are engaged in a range of diverse community activities including health and wellness, social groups, and community outings.  The main doors lock at dusk.  Family are able to ring through to the service using the two main entrances if they wish to visit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The Chief Executive Officer (CEO) leads the investigation and management of complaints (verbal and written).  There is a complaint (and compliments) log/register that records activity in an ongoing fashion.  Complaints are discussed at the monthly meetings.  Complaints forms are visible around the facility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There were six complaints in 2020. One was lodged by the Health and Disability Commission in November 2020.  The complaint is still open.  There has been one complaint made in 2021.  Three complaints reviewed during the audit confirmed that these had been responded to, investigated, and closed out in a timely manner with the complainant offered advocacy services should they not be satisfied with the outcome.</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 they are aware of how to make a complaint.  A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nurse manager discusses the information pack with the resident and the family/whānau.  The information pack incudes a copy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were held with 15 residents (eight rest home and seven hospital), and six family members (four rest home, one dementia, and one hospital).  All confirmed the services being provided are in line with the Code.  Other family members from the dementia unit were not able to be contacted on the day of audit however observations showed that practice was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positive about the service in relation to their values and beliefs being considered and met.  Resident files and care plans identified residents' preferred names.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partners were observed to knock on doors before entering resident bedrooms.  Care staff confirmed they promote the residents' independence by encouraging them to be as active as possible.  Residents and relatives interviewed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cultural, social, religious, and spiritual beliefs are identified on admission and included in the resident’s care plan/activity plan, to ensure the resident receives services that are acceptable to the resident/relatives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around values and beliefs is gathered on admission with family involvement and is integrated into the residents' care plans.  Training around privacy and dignity has been provided annually as part of the core training day held.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abuse and neglect.  Staff receive training around abuse and neglect.  Care staff interviewed are able to discuss ways in which they would manage suspected abuse or neglect.  Staff, managers, and the general practitioner (GP) interviewed confirmed that there is no evidence of any abuse or neglect.  Residents are supported to attend church services of their choice and are offered spiritual services weekly/monthly.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has a Māori health plan that is reviewed at least annually.  There is a cultural safety policy to guide practice including recognition of Māori values and beliefs and identify culturally safe practices for Māori.  The service has as a quick reference flip chart (Tikanga Recommended Best Practice Standards/Guidelines) in place that provides guidance for staff on culturally acceptable practice.    </w:t>
            </w:r>
          </w:p>
          <w:p w:rsidR="00EB7645" w:rsidRPr="00BE00C7" w:rsidP="00BE00C7">
            <w:pPr>
              <w:pStyle w:val="OutcomeDescription"/>
              <w:spacing w:before="120" w:after="120"/>
              <w:rPr>
                <w:rFonts w:cs="Arial"/>
                <w:b w:val="0"/>
                <w:lang w:eastAsia="en-NZ"/>
              </w:rPr>
            </w:pPr>
            <w:r w:rsidRPr="00BE00C7">
              <w:rPr>
                <w:rFonts w:cs="Arial"/>
                <w:b w:val="0"/>
                <w:lang w:eastAsia="en-NZ"/>
              </w:rPr>
              <w:t>Family/whānau involvement is encouraged in assessment and care planning, and visiting is encouraged.  There are kuia and kaumatua who come into Switzer to meet with residents and to facilitate activities that include flax weaving and other cultural activities.  The group represent a number of different marae. There are kuia on the Switzer Home Auxiliary who assist with fundraising for Christmas and Birthday gifts.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 the service link with a large number of community groups including Te Hauora O Te Ika for doctor and nurse practitioner services, Maori representation on the advisory group to the board and a trustee on the board who identifies as Maori (Ngati Kahu).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35 Maori residents with equivalent numbers of staff who identify as Maori. Some are able to speak fluent te reo and others have conversational te reo. Three residents who identified as Maori stated their cultural needs were met with any cultural needs documented in assessments and in care plans (link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and family are invited to be involved in care planning. It is at this time that any beliefs or values are further discussed and incorporated into the care plan. Six monthly reviews are scheduled and occur to assess if needs are being met.  Family are invited to attend.  Discussions with relatives inform that values and beliefs are considered.  Residents interviewed confirm that staff consider their culture and values.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who identified as Pacific complimented the service on the ‘family way’ of the service and noted that specific activities were provided to include family and a Pacific focus.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 implementation of policies and processes around boundaries relating to discrimination, abuse and neglect, harassment, and exploitation.  Training includes discussion of the staff code of conduct and prevention of inappropriate care.  Staff interviewed state that they were aware of the policies and were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Staff comply with confidentiality and the code of conduct.  The employee agreement provided to staff on induction includes standards of conduct.  Staff have had training around professional boundaries in 2021.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members interviewed stated that they would formally complain to management if they felt that they were discriminated against.  There were no complaints recorded in the complaints register for the previous 12 months relating to any form of discrimination or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has a suite of appropriate policies and procedures that are updated as necessary.  There is an established quality improvement programme that includes performance monitoring against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is part of the Far North Quality and Benchmarking Group and although the membership has decreased to two services since Covid 19 pandemic, the organisation has a continued commitment to reaching targets.  </w:t>
            </w:r>
          </w:p>
          <w:p w:rsidR="00EB7645" w:rsidRPr="00BE00C7" w:rsidP="00BE00C7">
            <w:pPr>
              <w:pStyle w:val="OutcomeDescription"/>
              <w:spacing w:before="120" w:after="120"/>
              <w:rPr>
                <w:rFonts w:cs="Arial"/>
                <w:b w:val="0"/>
                <w:lang w:eastAsia="en-NZ"/>
              </w:rPr>
            </w:pPr>
            <w:r w:rsidRPr="00BE00C7">
              <w:rPr>
                <w:rFonts w:cs="Arial"/>
                <w:b w:val="0"/>
                <w:lang w:eastAsia="en-NZ"/>
              </w:rPr>
              <w:t>There is a training coordinator (RN) who facilitates training options for staff.  This has meant that staff have a variety of ways they can access training that includes on-line, face to face and questionnaires against policies. There is evidence of education being supported outside of the bi-annual training plan such as palliative care training for HCAs and attendance at in-service offered via the DHB.  There is a ‘train the trainer’ programme in place that includes a 16-week in-service programme, the HCAs spoke very positively about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Eden Alternative and proactive empowerment of residents continues with staff continuing to embrace the principles of the model and philosophy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Accident/incident forms have a section to indicate if family have been informed (or not) of an accident/incident.  Of the 27 incident forms reviewed, all identified that family were notified following a resident incident.  Interviews with care partners, RNs and ENs confirmed that family are kept informed.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they have to pay for that is not covered by the agreement.  The information pack is available in large print and this can be read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provides care for up to 91 residents across three service levels (rest home, hospital, and dementia care).  The 91 beds comprise of 25 designated rest home beds; 30 designated hospital beds; 21 dual-purpose beds; and 15 designated dementia beds.  The facility is split into five wings, the Puriri wing (dementia care) has 15 of 15 residents, Kauri wing (rest home) has 20 of 20 residents, Millie wing (dual-purpose beds) has 15 of 16 residents, Kowhai wing (hospital) has 24 of 24 residents and Matai wing (dual-purpose beds) has 17 of 17 residents.  On the day of audit there were 91 residents in total: 32 rest home level residents, 44 hospital level residents and 15 dementia care residents.  The majority of residents are on the aged residential related care (ARRC) contract except for four YPD residents (one rest home and three hospital). Nine rest home and eight hospital private paying residents; and two long term support – chronic health conditions (LTS-CHC) including one with hospital level of care and one in the dementia unit. </w:t>
              <w:br/>
              <w:br/>
              <w:t xml:space="preserve">Switzer Residential Care is a charitable trust with a board of three trustees (pharmacist, doctor, and one with a business background who identifies as Ngati Kahu.  There is an advisory group (that includes iwi representation, representatives from social services, NGO’s, and key supports for residents in the community e.g. WINZ and Masonic Lodges.  The advisory group meets with the board of trustees four times a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strategic plan (2019 – 2039) that includes long-term goals, vision, mission, and philosophy.  Goals include critical success factors and outcomes.  There is an annual business, quality improvement and risk management plan that details all aspects of the quality programme. Benchmarking is undertaken as part of the Far North Quality &amp; Benchmarking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chief executive officer (registered nurse) who reports to the Board. The chief executive officer has been in the role for 19 months, has 13 years management in aged care, and has the following qualifications: MBA, Graduate Certificate in Management, Management and Leadership in Nursing Practice, post graduate certificate in Health Sciences, and a Diploma in Business Accounting. The chief executive officer is supported by the HR manager who has been in the role for eight years, two nurse managers who both have extensive experience in aged care services, and the facilities manager who has been in the role for one month. The facilities manager is currently being supported and orientated by the previous facilities manager.  There are a team of RNs who have experience within the aged residential care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executive officer and the nurse managers have maintained at least eight hours annually of professional development activities related to managing a rest home and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facilities manager and nurse managers will cover the CEO role (and vice versa).  Both the CEO and nurse manager are experienced RNs.  The RNs and facility manager were able to describe their role if they relieved for the chief executive officer.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Switzer Residential Care is implementing a quality and risk management system.  The organisational business plan and quality plan include quality goals with these reviewed through the range off meetings held in the organisation. There is an organisational risk management plan for 2021.  All plans were reviewed at the end of 2020 prior to new plans being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responsible for implementation of the quality and risk management programme with the CEO providing oversight of the quality programme.  The quality coordinator has a background in education and has been in the role for five weeks. They will oversee the implementation of plans and the quality programme.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A document control process is well established.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for the service was last completed in August 2020. There were 51 respondents out of the 102 sent out. Ninety percent of residents and family were very satisfied with the service and 10 percent were satisfied.  There were no real issues or suggestions raised in the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with evidence of resolution of issues as these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and annual analysis of results is completed and provided to staff and to the board.  There are monthly accident/incident reports that break down the data collected across the different levels of care.  Infection control is also included as part of benchmarking across the organisation.  There are a range of meetings where data is tabled. This includes the three to four monthly staff, monthly quality, monthly health, and safety, head of department meetings, clinical meetings daily with a registered nurse meeting monthly.  The meeting minutes show that quality improvement data is collected, analysed, and evaluated and the results communicated to staff and others.  Minutes of these meetings are made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weekly.  The Resident Association also meets monthly with the DT facilitating the meeting.  Meetings are minuted.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service addresses health and safety by recording hazards and near misses, sharing of health and safety information and actively encourage staff input and feedback.  The service has rewritten much of the health and safety manual to reflect the changes to legislation. The contractor policy now requires that the service holds specified contractor certificates of competence i.e. electricians and plumbers. A visual scorecard has been developed to display and inform staff about how the organisation is performing in certain strategic areas i.e. falls, staff injuries, call bell response times, specific projects/ concerns, and compliments.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data has been collected and analysed.  Incident forms are completed by care staff and the resident is reviewed by the RN at the time of event.  The form is reviewed by the nurse manager and forwarded to the CEO for final sign off.  An RN conducted clinical follow-up of residents in all 27 incident forms reviewed and demonstrated investigation of incidents to identify areas to minimise the risk of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staff inform incidents/accidents are reported appropriately.  The service documents and analyses incidents/accidents, unplanned or untoward events and provides feedback to the service and staff so that improvements are made.  Discussions with management, confirms an awareness of the requirement to notify relevant authorities in relation to essential notifications.  Notifications were made to HealthCERT since the last audit for pressure injuries, a fracture and a resident who overdosed while on social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Eleven staff files were reviewed. They were the facility manager, two nurse manager, three RNs, three care partners, one cook, and one diversional therapist.  All had relevant documentation relating to employment including reference checks, a police check, job description and signed contract relevant to their role.  A list of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education coordinator who is responsible for ensuring the orientation programme is completed for new staff.  There is a buddy system for new staff and staff interviewed stated that they had completed a robust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yearly education plan that includes all required education as part of these standards.  The plan is coordinated by the education coordinator (RN).  Compulsory study days are offered throughout the year and staff are required to attend one day annually.  These days are called ‘make it happen’ and includes the following topics: moving and handling, falls prevention, fire evacuation/training, occupational health and safety, code of rights, infection control and resuscitation.  Staff are able to make suggestions on additional topics for inclusion in the in-service calendar.  There is evidence that additional training opportunities are offered to staff such as attendance at a palliative care series.  Training attendance is recorded on a database (sighted), and the education coordinator undertakes a reconciliation of attendance annually.  This process ensures staff are meeting compulsory requirements and from the information reviewed all staff have attended a ‘make it happen’ study day within the last year. The education coordinator works to find on-line resources for staff to tap into that enhances their learning. Performance appraisals were not current in all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on RN staff files of attendance at the RN training day/s and external training.  A competency programme is in place with different requirements according to work type (e.g. care partner, RN, and kitchen staff).  Competencies are completed and a record of completion is maintained in the database.  Staff interviewed are aware of the requirement to complete competency training, however, not all medication competencies were current on the day of the audit (link 1.3.12.3).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51 care partners. Sixteen have completed the CareerForce (national certificate) level two; 26 have completed level three; and 12 have completed level four.  Care partners who work in the dementia unit have either completed training or are in training (two currently).  There are four care partners who are completing the health care assistance in aged care apprenticeship.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chief executive officer (RN with a current APC) and nurse managers alternate on-call. Staff in the dementia unit can push the panic button and this will alert staff in the rest home/hospital to provide support.  There is a bed sensor for residents in the dementia unit that alerts staff if a resident is out of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split into five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Puriri wing (dementia care) has 15 residents (dementia): two care partners (long shift) and one kitchen hand (0800 to 1300) AM; two care partners (one long shift and one until 2100) PM; one care partner overnight. There is a registered nurse rostered on for two to three hours per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Millie wing (dual-purpose beds) has 2 rest home and 13 hospital residents: 1 care partner (long shift) and 1 care partner (0700 to 1330) AM with an extra short shift from 0800 to 1430 Monday to Friday; 2 care partners (one long shift and one until 2100) as well as a one care partner 1330 to 1530 PM; 1 care partner overnight. </w:t>
            </w:r>
          </w:p>
          <w:p w:rsidR="00EB7645" w:rsidRPr="00BE00C7" w:rsidP="00BE00C7">
            <w:pPr>
              <w:pStyle w:val="OutcomeDescription"/>
              <w:spacing w:before="120" w:after="120"/>
              <w:rPr>
                <w:rFonts w:cs="Arial"/>
                <w:b w:val="0"/>
                <w:lang w:eastAsia="en-NZ"/>
              </w:rPr>
            </w:pPr>
            <w:r w:rsidRPr="00BE00C7">
              <w:rPr>
                <w:rFonts w:cs="Arial"/>
                <w:b w:val="0"/>
                <w:lang w:eastAsia="en-NZ"/>
              </w:rPr>
              <w:t>Kauri wing (rest home) has 19 rest home and 1 hospital resident: 1 care partner (long shift) and 1 care partner (0700 to 1330) AM; 2 care partners (one long shift and one until 2100) PM; 1 care partner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Kauri and Millie wings have an enrolled nurse between the two wings in the AM, and a registered nurse for on the AM and PM shifts (one in each wing) with a registered nurse on night shift between the two wings and a registered nurse for five to six hours between the wings on the AM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Matai wing (dual-purpose beds) has 10 rest home and 7 hospital residents: 2 care partners (long shift) and 2 care partners (0700 to 1330) and a kitchen hand (0800 to 1400) AM; 1 care partner (long shift) and one care partner (short shift); PM; 1 care partner overnight.   </w:t>
            </w:r>
          </w:p>
          <w:p w:rsidR="00EB7645" w:rsidRPr="00BE00C7" w:rsidP="00BE00C7">
            <w:pPr>
              <w:pStyle w:val="OutcomeDescription"/>
              <w:spacing w:before="120" w:after="120"/>
              <w:rPr>
                <w:rFonts w:cs="Arial"/>
                <w:b w:val="0"/>
                <w:lang w:eastAsia="en-NZ"/>
              </w:rPr>
            </w:pPr>
            <w:r w:rsidRPr="00BE00C7">
              <w:rPr>
                <w:rFonts w:cs="Arial"/>
                <w:b w:val="0"/>
                <w:lang w:eastAsia="en-NZ"/>
              </w:rPr>
              <w:t>Kowhai wing (hospital) has 1 rest home and 23 hospital residents: 2 care partners (long shift) and one care partner (0700 to 1300); 2 care partners (long shift) and 2 care partners (1515 to2100) PM; 1 care partner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Matai and Kowhai have an extra care partner who floats over both wings overnight to support staff.  Matai and Kowhai have an enrolled nurse between the two wings in the AM, and a registered nurse for on the AM and PM shifts (one in each wing) with a registered nurse on night shift between the two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registered nurse on duty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for the past three months were sighted, and staff were replaced when on leave.  The care partners, residents and relatives interviewed, inform there are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Personal resident information is kept confidential and cannot be viewed by other residents or members of the public.  Resident files are protected from unauthorised access by being held in a locked staff area.  Care plans and notes are legible.  All resident records contain the name of the resident and the person completing.  Individual resident files demonstrate service integration including records from allied health professionals and specialists involved in the care of the resident.  Entries are legible, dated and signed by the relevant care partner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nurse managers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ten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 that they have received the information pack and have received sufficient information prior to and on entry to the service.   Family members report that the nurse managers or CEO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self-medicating on the day of audit, who had been assessed as competent to self-administer by the RN and GP.  The resident’s room was visited and confirmation that the medications were stored securely obtained.  All legal requirements had been met.  There are no standing orders in use and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blister pack system.  Medications are checked on arrival and any pharmacy errors recorded and fed back to the supplying pharmacy.  Registered nurses and enrolled nurses who administer medications, have up to date medication competencies and there has been medication education in the last year.  Not all care partners who administer and/or check medication had up to date medication competencies.  Registered nurses have syringe driver training completed by the hospice.  The medication fridges and room temperatures are checked daily.  Eye drops viewed in the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Twenty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regional operations manager (interviewed) of the corporate catering management company the service utilises oversees the procurement of the food and management of the kitchen.  All meals are cooked on site.  The kitchen was observed to be clean and well organised, and a current approved food control plan was in evidence, expiring January 2022.  Meals are plated in the kitchen and delivered straight to the main dining area and via hot boxes to the four wings, including the new kitchenette in the Kowhai wing. A tray service is available and delivered via a hot box system to maintain correct food temperatures.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are monitored and recorded daily using an electronic management system.  Food temperatures are checked at all meals.  These are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The six-weekly seasonal menu is approved by an external dietitian.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family/whanau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(link 1.3.3.3), and 6 monthly reviews had been carried out as per policy for those residents who had been in the service for 6 months or more.</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identify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dietician, district nursing service and older person’s mental health team.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ongoing evaluations are in place for all wounds.  Wound monitoring occurred as planned and there are also photos to show wound progress.  Wounds included five chronic ulcers, fourteen skin tears, one grade 2 pressure injury (facility acquired), four cancerous lesions and two surgical wounds.  The service liaises with the local district nursing service for complex wound management including vacuum dressings and compression bandaging when required for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monitoring is comprehensively documented in the dementia unit and elsewhere as required.  De-escalation techniques are detailed in the care plans in sufficient detail to guide staff in caring for residents with behaviour that challenges.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and two activities coordinators covering Monday to Friday, who plan and lead all activities.  The service designates weekends as family time, with resources set up and available for resident/family use.  Volunteers also undertake some activities at weekends including concerts and religious services.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given to each resident, which also has the week’s menu on the reverse.  This is also in large print on noticeboards in all areas.  Residents have the choice of a variety of activities which are varied according to resident preference and need.  These include (but are not limited to) exercises, men’s club, prayer group, tai chi, crafts, games, quizzes, entertainers, pet therapy, bowls, and bingo.</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highlights any activities that may not be suitable for those residents under 65 years of age and provides alternatives although a younger resident has the opportunity to attend any activity according to their preference.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hand massage are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twice weekly outings including a supported shopping trip.  There are regular entertainers visiting the facility.  Special events like birthdays, Easter, Mothers’ Day, and Anzac Day are celebrated.  There are visiting community groups such as cultural dance groups, churches,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of ten resident files reviewed (excluding one recent hospital level admission) had evidence of a written evaluation by the registered nurses six-monthly or earlier if there was a change in health status.  Activities plans are in place for each of the residents (including an individualised, age-appropriate plan for YPD resident) and these are also evaluated six-monthly.  There is evidence of resident and family involvement in the review of long-term resident care plans against resident goals.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nurse managers interviewed could describe the procedure for when a resident’s condition changes and the resident needs to be reassessed for a higher or different level of care.  Discussion with the nurse managers, and registered nurses identifies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June 2022.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July 2022.  The hoist and scales are checked annually and are next due to be checked February 2022.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and decked areas are well maintained.  All external areas have attractive features and are easily accessible to residents.  The dementia unit garden and grounds are safely and securely fenced.  The indoor-outdoor flow off the lounge in the dementia unit allows unrestricted access to the garden area with raised beds and walking pathways. There is safe access to all communal areas in the facility, including the dementia care unit.  All outdoor areas have appropriately placed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five wings, Kauri, Kowhai, Puriri (dementia), Millie and Matai.  All bedrooms in Kauri (rest home) have hand basins with the exception of one which has an ensuite.  In Matai (dual-purpose) eight have ensuites, six have separate toilets and hand basins, and three have hand basins.  In Millie (dual-purpose), 13 have ensuites and three have hand basins.  Matai wing has eight bedrooms that have over the bed electric hoists.  There are adequate communal toilets/showers available.  Each bathroom has a hand basin and communal toilets have hand washing and drying facilities.  There are soap dispensers in all bathrooms.  There are separate staff/visitors’ toilets.  There is signage to promote effective hand washing techniques in the staff and visitors’ toilet.  There are hand sanitiser pumps available throughout the facility.  The facility was clean, well presented and odour free.  Residents interviewed reported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to allow care to be provided and for the safe use of mobility equipment.  Doorways into residents' rooms and communal areas are wide enough for wheelchair, trolley, and bed access.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including large lounges in the hospital, dementia, and rest home areas.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laundry is done on site.  There are clearly defined clean and dirty areas and entry/exit.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manual available.  Cleaning and laundry services are monitored through the internal auditing system.  The cleaners’ equipment was attended at all times when in use and locked away at other times.  All chemicals on the cleaner’s trolley were labelled.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sufficient emergency water for 3 litres per person, per day for more than 3 days for resident use on site.  The service has its own emergency generator in case of power outage.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pagers and also give an audible alert.  Security policies and procedures are documented and implemented by staff.  The buildings are secure at night, there is CCTV in communal areas, entrances and there is security lighting externally.  A local security company checks external doors as part of a night patrol.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with staff and residents interviewed, stating that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(nurse manager) is an RN who is responsible for infection control across the facility as detailed in the infection control coordinator job description (signed copy sighted on day of audit).  The coordinator oversees infection control for the facility and is responsible for the collation of monthly infection events and reports. The facility management team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Covid sign in and declarations are mandatory for visitors and contractors.  Visitors are asked not to visit if they are unwell.  Residents are offered the influenza vaccine.  There have been no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  During Covid-19 lockdown it was mandatory for staff not to travel to and from the facility in uniform, with laundry and changing facilities provided on site.  Although this is no longer mandatory, it is still available and strongly encouraged as being best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Switzer Residential Care.  The infection control coordinator liaises with the quality/ infection control committee who meet regularly and as required (more frequently during Covid lockdown).  Information is shared as part of the monthly quality meetings and also as part of the registered nurse meetings.  The infection control coordinator has completed annual training in infection control through the local DHB.</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external specialists, microbiologist, GP, district nursing service and DHB when required.  The GP and pharmacist monitor the use of antibiotics.  Overall effectiveness of the programme is monitored by the facility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the facility management team, building upon a bought in system to make them site specific.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education and ensuring staff attend education in-services.  Training on infection control is included in the orientation programme.  Staff have completed infection control education including Covid specific topics in the last 12 months.  The infection control coordinator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Switzer Residential Care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registered nurse, and quality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Trend analysis is undertaken, and corrective actions are established where trends are identified.  Monthly and quarterly infection control reports are submitted to the Board via the CEO.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policy outlines the process that staff should follow before enablers are implemented and includes identifying at risk behaviours, assessment procedures, alternatives and de-escalation techniques, discussion with multidisciplinary team, client and family/whānau, development of an enabler care plan, monitoring, reduction, removal, and evaluation of enablers. The assessment process ensures enablers are voluntary and the least restrictive option.  On the day of audit, there were eight hospital residents with restraints (bed rails) and 14 residents using an enabler (bed rails).  Staff training has been provided around restraint minimisation and challenging behaviours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Responsibilities and accountabilities for restraint are outlined in the restraint minimisation and safe practice policy that includes responsibilities for key staff at an organisational level and a service level.  The service has an approval process (as part of the restraint minimisation and safe practice policy) that is applicable to the service.  Individual approved restraint is reviewed at least three-monthly and presented at the quality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Two restraint and one enabler file were reviewed.  The files sampled identified that a restraint assessment, discussion with family/whānau and consent form were completed for the two residents requiring restraint and an enabler assessment and consent form is completed for the one resident requiring an enabler.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requiring restraint have been evaluated three-monthly.  Family/whānau participates in evaluations and at the residents' contract and care review meeting.  Use of restraint is discussed at monthly staff meetings.  The restraint evaluation includes the areas identified in 2.2.4.1 a) – k).  Restraint practices are reviewed on a formal basis in the staff meetings and health &amp; safety and infection control committee.  A restraint evaluation is completed of the restraint care plan three-monthly.  Evaluation timeframes are determined by risk levels.  Family/whānau is involved in review at residents' contract and care review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requiring restraint have been evaluated three-monthly.  Family/whānau participates in evaluations and at the residents' contract and care review meeting.  Use of restraint is discussed at monthly staff meetings.  The restraint evaluation includes the areas identified in 2.2.4.1 a) – k).  Restraint practices are reviewed on a formal basis in the staff meetings and health &amp; safety and infection control committee.  A restraint evaluation is completed of the restraint care plan three-monthly.  Evaluation timeframes are determined by risk levels.  Family/whānau is involved in review at residents' contract and care review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Approved restraint for each individual is reviewed at least three-monthly by the restraint coordinator and as part of the annual contract and care review meeting with family/whānau involvement.  Restraint usage across the facility is monitored monthly and discussed at monthly staff and health and safety and then to the QA meeting.  An annual quality review of restraint usage is completed by the general manager.  An internal audit for restraint usage was done in 2021.</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37"/>
        <w:gridCol w:w="1280"/>
        <w:gridCol w:w="4483"/>
        <w:gridCol w:w="2492"/>
        <w:gridCol w:w="20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which includes all compulsory education sessions. Employment processes are implemented, however, not all files evidence annual appraisals have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the staff files reviewed did not evidence completion of an annual performance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complete an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training has occurred annually. All registered nurses and enrolled nurses have current medication competencies, however, not all care staff administering or checking medications had current medication competencies.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partners who administered and/or checked medications did not have up to date medication competencies.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who administer and/or check medications have been assessed as competent to do so.</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ten resident files reviewed had a documented long term care plan using the organisation’s template, however new interRAI assessments were not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ten files (2 hospital and 2 rest home) did not have initial interRAI assessments completed within 21 days of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new interRAI assessments are completed within the required timeframes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Claud Switzer Memorial Trust Board - Switzer Residential Care</w:t>
    </w:r>
    <w:bookmarkEnd w:id="58"/>
    <w:r>
      <w:rPr>
        <w:rFonts w:cs="Arial"/>
        <w:sz w:val="16"/>
        <w:szCs w:val="20"/>
      </w:rPr>
      <w:tab/>
      <w:t xml:space="preserve">Date of Audit: </w:t>
    </w:r>
    <w:bookmarkStart w:id="59" w:name="AuditStartDate1"/>
    <w:r>
      <w:rPr>
        <w:rFonts w:cs="Arial"/>
        <w:sz w:val="16"/>
        <w:szCs w:val="20"/>
      </w:rPr>
      <w:t>10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