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The Oaks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Oaks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August 2021</w:t>
      </w:r>
      <w:bookmarkEnd w:id="7"/>
      <w:r w:rsidRPr="009418D4">
        <w:rPr>
          <w:rFonts w:cs="Arial"/>
        </w:rPr>
        <w:tab/>
        <w:t xml:space="preserve">End date: </w:t>
      </w:r>
      <w:bookmarkStart w:id="8" w:name="AuditEndDate"/>
      <w:r w:rsidR="00A4268A">
        <w:rPr>
          <w:rFonts w:cs="Arial"/>
        </w:rPr>
        <w:t>12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The Oaks Rest Home and Village provides rest home and hospital level care for up to 105 residents. </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the review of policies and procedures, review of residents’ and staff files, and observation and interviews with residents, family members, managers, staff, a physiotherapist, and a general practitioner.</w:t>
      </w:r>
    </w:p>
    <w:p w:rsidRPr="00A4268A">
      <w:pPr>
        <w:spacing w:before="240" w:line="276" w:lineRule="auto"/>
        <w:rPr>
          <w:rFonts w:eastAsia="Calibri"/>
        </w:rPr>
      </w:pPr>
      <w:r w:rsidRPr="00A4268A">
        <w:rPr>
          <w:rFonts w:eastAsia="Calibri"/>
        </w:rPr>
        <w:t xml:space="preserve">The residents and family members spoke positively about the care provided. </w:t>
      </w:r>
    </w:p>
    <w:p w:rsidRPr="00A4268A">
      <w:pPr>
        <w:spacing w:before="240" w:line="276" w:lineRule="auto"/>
        <w:rPr>
          <w:rFonts w:eastAsia="Calibri"/>
        </w:rPr>
      </w:pPr>
      <w:r w:rsidRPr="00A4268A">
        <w:rPr>
          <w:rFonts w:eastAsia="Calibri"/>
        </w:rPr>
        <w:t>This audit has resulted in two continuous improvement ratings in relation to continually improving the quality of services and human resources. There were no areas requiring improvement identified.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w:t>
      </w:r>
    </w:p>
    <w:p w:rsidRPr="00A4268A">
      <w:pPr>
        <w:spacing w:before="240" w:line="276" w:lineRule="auto"/>
        <w:rPr>
          <w:rFonts w:eastAsia="Calibri"/>
        </w:rPr>
      </w:pPr>
      <w:r w:rsidRPr="00A4268A">
        <w:rPr>
          <w:rFonts w:eastAsia="Calibri"/>
        </w:rPr>
        <w:t xml:space="preserve">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and is responsible for the services provided at this facility. The mission, vision and values of the organisation are documented and communicated to all concerned. There are systems in place for monitoring the services provided, including regular monthly reporting by the business and care manager to the Oceania national support office.</w:t>
      </w:r>
    </w:p>
    <w:p w:rsidRPr="00A4268A">
      <w:pPr>
        <w:spacing w:before="240" w:line="276" w:lineRule="auto"/>
        <w:rPr>
          <w:rFonts w:eastAsia="Calibri"/>
        </w:rPr>
      </w:pPr>
      <w:r w:rsidRPr="00A4268A">
        <w:rPr>
          <w:rFonts w:eastAsia="Calibri"/>
        </w:rPr>
        <w:t xml:space="preserve">The facility is managed by an experienced and qualified business and care manager who is a registered nurse with aged care experience. They have been in this position since March 2018. The clinical manager is responsible for the oversight of the clinical services in the facility. </w:t>
      </w:r>
    </w:p>
    <w:p w:rsidRPr="00A4268A">
      <w:pPr>
        <w:spacing w:before="240" w:line="276" w:lineRule="auto"/>
        <w:rPr>
          <w:rFonts w:eastAsia="Calibri"/>
        </w:rPr>
      </w:pPr>
      <w:r w:rsidRPr="00A4268A">
        <w:rPr>
          <w:rFonts w:eastAsia="Calibri"/>
        </w:rPr>
        <w:t>There is an internal audit and quality programme. Risks are identified, and a hazard register is in place. Adverse events are documented on accident/incident forms. Facility meetings are held where there is reporting on various clinical indicators, quality and risk issues, and discussion on identified trends. Graphs of clinical indicators are available for staff to view along with meeting minutes.</w:t>
      </w:r>
    </w:p>
    <w:p w:rsidRPr="00A4268A">
      <w:pPr>
        <w:spacing w:before="240" w:line="276" w:lineRule="auto"/>
        <w:rPr>
          <w:rFonts w:eastAsia="Calibri"/>
        </w:rPr>
      </w:pPr>
      <w:r w:rsidRPr="00A4268A">
        <w:rPr>
          <w:rFonts w:eastAsia="Calibri"/>
        </w:rPr>
        <w:t xml:space="preserve">There are policies and procedures on human resources management. A mandatory education programme is provided for staff. </w:t>
      </w:r>
    </w:p>
    <w:p w:rsidRPr="00A4268A">
      <w:pPr>
        <w:spacing w:before="240" w:line="276" w:lineRule="auto"/>
        <w:rPr>
          <w:rFonts w:eastAsia="Calibri"/>
        </w:rPr>
      </w:pPr>
      <w:r w:rsidRPr="00A4268A">
        <w:rPr>
          <w:rFonts w:eastAsia="Calibri"/>
        </w:rPr>
        <w:t xml:space="preserve">There is a documented rationale for determining staffing levels and skill mixes to provide safe service delivery that is based on best practice. </w:t>
      </w:r>
    </w:p>
    <w:p w:rsidRPr="00A4268A">
      <w:pPr>
        <w:spacing w:before="240" w:line="276" w:lineRule="auto"/>
        <w:rPr>
          <w:rFonts w:eastAsia="Calibri"/>
        </w:rPr>
      </w:pPr>
      <w:r w:rsidRPr="00A4268A">
        <w:rPr>
          <w:rFonts w:eastAsia="Calibri"/>
        </w:rPr>
        <w:t>Resident information is entered into a register in an accurate and timely manner. The privacy of resident information is maintained. The name and designation of staff making entries in clinical files are recorded and legible.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assess residents’ needs on admission. </w:t>
      </w:r>
    </w:p>
    <w:p w:rsidRPr="00A4268A" w:rsidP="00621629">
      <w:pPr>
        <w:spacing w:before="240" w:line="276" w:lineRule="auto"/>
        <w:rPr>
          <w:rFonts w:eastAsia="Calibri"/>
        </w:rPr>
      </w:pPr>
      <w:r w:rsidRPr="00A4268A">
        <w:rPr>
          <w:rFonts w:eastAsia="Calibri"/>
        </w:rPr>
        <w:t xml:space="preserve">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is displayed. There is a reactive and preventative maintenance programme, and this includes equipment and electrical checks. Fixtures, fittings and floor and wall surfaces are made of suitable materials for this environment. </w:t>
      </w:r>
    </w:p>
    <w:p w:rsidRPr="00A4268A">
      <w:pPr>
        <w:spacing w:before="240" w:line="276" w:lineRule="auto"/>
        <w:rPr>
          <w:rFonts w:eastAsia="Calibri"/>
        </w:rPr>
      </w:pPr>
      <w:r w:rsidRPr="00A4268A">
        <w:rPr>
          <w:rFonts w:eastAsia="Calibri"/>
        </w:rPr>
        <w:t>Residents’ bedrooms are of an appropriate size for the safe use and manoeuvring of mobility aids, and to allow for care to be provided. Lounges, dining areas, and sitting alcoves are available for residents and their visitors. External areas and gardens are safe for residents to mobilise around.</w:t>
      </w:r>
    </w:p>
    <w:p w:rsidRPr="00A4268A">
      <w:pPr>
        <w:spacing w:before="240" w:line="276" w:lineRule="auto"/>
        <w:rPr>
          <w:rFonts w:eastAsia="Calibri"/>
        </w:rPr>
      </w:pPr>
      <w:r w:rsidRPr="00A4268A">
        <w:rPr>
          <w:rFonts w:eastAsia="Calibri"/>
        </w:rPr>
        <w:t>A call bell system is available to allow residents to access help when needed. Security systems are in place with regular fire drills completed.</w:t>
      </w:r>
    </w:p>
    <w:p w:rsidRPr="00A4268A">
      <w:pPr>
        <w:spacing w:before="240" w:line="276" w:lineRule="auto"/>
        <w:rPr>
          <w:rFonts w:eastAsia="Calibri"/>
        </w:rPr>
      </w:pPr>
      <w:r w:rsidRPr="00A4268A">
        <w:rPr>
          <w:rFonts w:eastAsia="Calibri"/>
        </w:rPr>
        <w:t>Protective equipment and clothing are provided and used by staff. Chemicals are safely stored. The laundry service is conducted off site apart from some residents’ personal clothes which are cleaned on site. Cleaning of the facility is conducted by household staff and monitored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there were no restraints. Restraint is only used as a last resort when all other options have been explored. Enablers are voluntary with one resident was using bedrails as a voluntary enabler.</w:t>
      </w:r>
    </w:p>
    <w:p w:rsidRPr="00A4268A">
      <w:pPr>
        <w:spacing w:before="240" w:line="276" w:lineRule="auto"/>
        <w:rPr>
          <w:rFonts w:eastAsia="Calibri"/>
        </w:rPr>
      </w:pPr>
      <w:r w:rsidRPr="00A4268A">
        <w:rPr>
          <w:rFonts w:eastAsia="Calibri"/>
        </w:rPr>
        <w:t>Staff receive education relating to the use of and management of restraints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66"/>
        <w:gridCol w:w="1280"/>
        <w:gridCol w:w="83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Oaks Rest Home and Village is guided by Oceania Healthcare Limited’s overarching policies, procedures and processes to meet its obligations in relation to the Code of Health and Disability Services Consumers’ Rights (the Code). Staff interviewed demonstrated knowledge, understood the requirements of the Code and were observed demonstrating respectful communication, open disclosure, encouraging residents’ independence, providing options and maintaining residents’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as relevant, in the resident’s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Consent forms were sighted for Covid-19 and flu vaccinations.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and contact information is printed on the bottom of the complaint form.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spoken with were aware of the Advocacy Service, how to access this and their right to have support persons. The clinical manager (CM) was unaware of any use of the advocacy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Systems are in place that ensure residents, and their family are advised on admission to the facility of the complaint process and the Code. The complaints forms are displayed and accessible within the facility. Staff interviews confirmed their awareness of the complaints processes. Residents and families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(BCM) is responsible for complaints management. A complaints register is maintained. The register noted five complaints in 2021, all are closed. One related to a human resources matter and was investigated by the Health and Disability Commissioner’s office and closed. This is currently still under investigation by the police. All required authorities have been notified and a section 31 notification completed.</w:t>
            </w:r>
          </w:p>
          <w:p w:rsidR="00EB7645" w:rsidRPr="00BE00C7" w:rsidP="00BE00C7">
            <w:pPr>
              <w:pStyle w:val="OutcomeDescription"/>
              <w:spacing w:before="120" w:after="120"/>
              <w:rPr>
                <w:rFonts w:cs="Arial"/>
                <w:b w:val="0"/>
                <w:lang w:eastAsia="en-NZ"/>
              </w:rPr>
            </w:pPr>
            <w:r w:rsidRPr="00BE00C7">
              <w:rPr>
                <w:rFonts w:cs="Arial"/>
                <w:b w:val="0"/>
                <w:lang w:eastAsia="en-NZ"/>
              </w:rPr>
              <w:t>There are no complaints currently with any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The Code is displayed in reception areas in both buildings together with information on advocacy services, how to make a complaint and feedback forms. The admission pack has information on the facility, services available, such as hairdresser, laundry, mealtimes, how to order a newspaper, how to make a complaint, the Code and Advocacy Services. The Advocacy Service has held education sessions for the residents, as seen documented in residents’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Rest Home ensures that each resident has the right to privacy and dignity. The residents’ own personal belongings are used to individualise their care suites/rooms. There are two shared rooms, occupied by married couples. Spaces are available for private conversations and patient information was maintained in the computer with staff having unique login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 members interviewed confirmed they were treated with respect. Health care assistants (HCA) were observed knocking on bedroom doors prior to entering, doors and curtains were closed when cares were been given.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reported they had not witnessed any abuse or neglect; however, they understood the processes to follow in the event of this occurring. Staff receive annual training on abuse and neglect and can describe the signs. There were no documented incidents of abuse or neglect in the incidents reviewed in residents’ files. Staff interviewed were aware of the need to ensure residents are not exploited, neglected or abused and that the organisation has a zero tolerance policy for such behaviour. </w:t>
            </w:r>
          </w:p>
          <w:p w:rsidR="00EB7645" w:rsidRPr="00BE00C7" w:rsidP="00BE00C7">
            <w:pPr>
              <w:pStyle w:val="OutcomeDescription"/>
              <w:spacing w:before="120" w:after="120"/>
              <w:rPr>
                <w:rFonts w:cs="Arial"/>
                <w:b w:val="0"/>
                <w:lang w:eastAsia="en-NZ"/>
              </w:rPr>
            </w:pPr>
            <w:r w:rsidRPr="00BE00C7">
              <w:rPr>
                <w:rFonts w:cs="Arial"/>
                <w:b w:val="0"/>
                <w:lang w:eastAsia="en-NZ"/>
              </w:rPr>
              <w:t>Staff are clear about professional boundaries and ethics that inform their behaviour when interacting with residents. A staff code of values and conduct booklet was included in their orientation pack.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and organising appointments.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identified as Māori on the day of audit. There is a current Māori health plan developed with input from cultural advisers. Principles of the Treaty of Waitangi are incorporated into day to day practice, as is the importance of whānau. Guidance on tikanga best practice is available as is information on the Te Whare Tapa Wha Māori model of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educated as part of the mandatory education provided on cultural safety and cultural appropriateness. </w:t>
            </w:r>
          </w:p>
          <w:p w:rsidR="00EB7645" w:rsidRPr="00BE00C7" w:rsidP="00BE00C7">
            <w:pPr>
              <w:pStyle w:val="OutcomeDescription"/>
              <w:spacing w:before="120" w:after="120"/>
              <w:rPr>
                <w:rFonts w:cs="Arial"/>
                <w:b w:val="0"/>
                <w:lang w:eastAsia="en-NZ"/>
              </w:rPr>
            </w:pPr>
            <w:r w:rsidRPr="00BE00C7">
              <w:rPr>
                <w:rFonts w:cs="Arial"/>
                <w:b w:val="0"/>
                <w:lang w:eastAsia="en-NZ"/>
              </w:rPr>
              <w:t>Cultural activities are included in the activities programme to celebrate the cultures represented. Church services are available to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w:t>
            </w:r>
          </w:p>
          <w:p w:rsidR="00EB7645" w:rsidRPr="00BE00C7" w:rsidP="00BE00C7">
            <w:pPr>
              <w:pStyle w:val="OutcomeDescription"/>
              <w:spacing w:before="120" w:after="120"/>
              <w:rPr>
                <w:rFonts w:cs="Arial"/>
                <w:b w:val="0"/>
                <w:lang w:eastAsia="en-NZ"/>
              </w:rPr>
            </w:pPr>
            <w:r w:rsidRPr="00BE00C7">
              <w:rPr>
                <w:rFonts w:cs="Arial"/>
                <w:b w:val="0"/>
                <w:lang w:eastAsia="en-NZ"/>
              </w:rPr>
              <w:t>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wound care specialist, psychogeriatrician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multi-cultural staff being able to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Oaks Rest Home and Village (The Oaks) is part of the Oceania Healthcare Limited (Oceania). The Oceania executive team provides support to the facility with the regional clinical and operations manager providing the support during this on-site audit. The BCM provides the executive management team with monthly progress against identified indicators. Oceania has an overarching business plan, and The Oaks has a business plan specific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Posters observed at the entrance of the facility and information booklets available for residents, staff and family include the organisation’s mission statement, values, and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BCM who has been in this role since March 2018. The BCM is a registered nurse (RN) and has had previous management experience in residential care facilities. Responsibilities and accountabilities are defined in a job description and individual employment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supported by a clinical manager (CM) who has been in the role since February 2019. The CM is an RN with experience in aged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105 residents, with 93 beds occupied at the audit.</w:t>
            </w:r>
          </w:p>
          <w:p w:rsidR="00EB7645" w:rsidRPr="00BE00C7" w:rsidP="00BE00C7">
            <w:pPr>
              <w:pStyle w:val="OutcomeDescription"/>
              <w:spacing w:before="120" w:after="120"/>
              <w:rPr>
                <w:rFonts w:cs="Arial"/>
                <w:b w:val="0"/>
                <w:lang w:eastAsia="en-NZ"/>
              </w:rPr>
            </w:pPr>
            <w:r w:rsidRPr="00BE00C7">
              <w:rPr>
                <w:rFonts w:cs="Arial"/>
                <w:b w:val="0"/>
                <w:lang w:eastAsia="en-NZ"/>
              </w:rPr>
              <w:t>This included:</w:t>
            </w:r>
          </w:p>
          <w:p w:rsidR="00EB7645" w:rsidRPr="00BE00C7" w:rsidP="00BE00C7">
            <w:pPr>
              <w:pStyle w:val="OutcomeDescription"/>
              <w:spacing w:before="120" w:after="120"/>
              <w:rPr>
                <w:rFonts w:cs="Arial"/>
                <w:b w:val="0"/>
                <w:lang w:eastAsia="en-NZ"/>
              </w:rPr>
            </w:pPr>
            <w:r w:rsidRPr="00BE00C7">
              <w:rPr>
                <w:rFonts w:cs="Arial"/>
                <w:b w:val="0"/>
                <w:lang w:eastAsia="en-NZ"/>
              </w:rPr>
              <w:t>- 54 residents requiring rest home level care, with 23 under an occupational rights agreement (ORA).</w:t>
            </w:r>
          </w:p>
          <w:p w:rsidR="00EB7645" w:rsidRPr="00BE00C7" w:rsidP="00BE00C7">
            <w:pPr>
              <w:pStyle w:val="OutcomeDescription"/>
              <w:spacing w:before="120" w:after="120"/>
              <w:rPr>
                <w:rFonts w:cs="Arial"/>
                <w:b w:val="0"/>
                <w:lang w:eastAsia="en-NZ"/>
              </w:rPr>
            </w:pPr>
            <w:r w:rsidRPr="00BE00C7">
              <w:rPr>
                <w:rFonts w:cs="Arial"/>
                <w:b w:val="0"/>
                <w:lang w:eastAsia="en-NZ"/>
              </w:rPr>
              <w:t>- 35 residents requiring hospital level care, with 12 under an occupational rights agreement (ORA), and three under 65 years of age under a long-term care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two under an end-of-life hospital level care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BCM is absent, the CM carries out all the required duties under delegated authority, with support from the regional operations manager and the regional clinical manager. For an extended period of leave of the BCM, a relief BCM would be assigned the responsibility, as confirmed at management interviews. If the CM is on leave, a senior registered nurse (RN) would have oversight of clinical care.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 current arrangements works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Oaks uses the Oceania quality and risk management system that reflects the principles of continuous quality improvement. A continuous improvement has been awarded related to the effectiveness of the corrective action process has resulted in increased opportunities for improvement of services, outcomes, and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Oceania management group reviews all policies with input from internal experts. Policies reviewed cover the necessary aspects of the service and contractual requirements, including reference to the interRAI long-term care facility (LTCF) assessment tool and process. Policies include references to current best practice and legislated requirements. New and revised policies are introduced to staff at staff meetings and policy updates are also presented as part of relevant in-service education. Staff interviewed confirmed that they are alerted of new and revised policies and receive opportunities to read and understand these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complaints, review of incidents and accidents, key performance indicators, and implementation of an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is documented and implemented as scheduled. Internal audits cover all aspects of the service and are completed by the BCM or CM. Audit data is collected, collated, and analysed at the facility. Results are reported on the electronic system which can be viewed by the Oceania national support office. Interviewed staff reported that they are kept informed of audit activities and results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families are completed as part of the internal audit programme on a six-monthly basis. Interviews with staff, residents, and family confirmed a satisfaction survey was taking place at the time of audit. Survey forms were observed to be available within the facility. The March 2021 survey had been collated and analysed and communicated to staff, family, and residents as evidenced in meeting minutes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are conducted, for example, general staff and quality initiative meetings, RN meetings, household staff meetings and kitchen staff meetings. Minutes of meetings evidenced communication with staff around aspects of quality improvement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Clinical indicators are collated monthly and benchmarked against other Oceania facilities.</w:t>
            </w:r>
          </w:p>
          <w:p w:rsidR="00EB7645" w:rsidRPr="00BE00C7" w:rsidP="00BE00C7">
            <w:pPr>
              <w:pStyle w:val="OutcomeDescription"/>
              <w:spacing w:before="120" w:after="120"/>
              <w:rPr>
                <w:rFonts w:cs="Arial"/>
                <w:b w:val="0"/>
                <w:lang w:eastAsia="en-NZ"/>
              </w:rPr>
            </w:pPr>
            <w:r w:rsidRPr="00BE00C7">
              <w:rPr>
                <w:rFonts w:cs="Arial"/>
                <w:b w:val="0"/>
                <w:lang w:eastAsia="en-NZ"/>
              </w:rPr>
              <w:t>The Oaks has a risk management programme in place. Health and safety policies and procedures are documented along with a hazard management programme. There was evidence of hazard identification forms completed when a hazard was identified. The BCM is responsible for maintaining the hazard register. The BCM and the maintenance personal are the health and safety officers.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adverse event reporting process and were able to describe the importance of recording near misses. Staff are documenting adverse, unplanned or untoward events on an electronic accident/incident form. Incident/accident forms are completed by staff who either witnessed an adverse event or were the first to respond. Accident and incident electronic forms are reviewed by management and signed off when completed. The RNs undertake assessments of residents following an accident. Neurological observations and falls risk assessments are completed following accidents/incidents as appropriate.</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comply with essential notification reporting, for example, health and safety, human resources, and infection control. The BCM is aware of situations in which the service would need to report and notify statutory authorities, including police attending the facility, unexpected deaths, sentinel events, notification of a pressure injury, infectious disease outbreaks, and changes in key clinical managers. Authorities have been notified regarding a complaint (refer to 1.1.13).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A sample of staff records reviewed confirmed the organisation’s policies are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There are systems in place to ensure that annual practising certificates are current. Current certificates were evidenced in reviewed records for all staff and contractors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documentation sighted included necessary components to the role. Health care assistants (HCA) interviewed identified they are paired with a senior HCA until they demonstrate competency on specific tasks, such as hand hygiene or moving and handling. Staff interviewed reported that the orientation process prepared them well for their role. Staff records reviewed showed consistent documentation of completed staff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continuous improvement has been awarded related to the internal project on staff retention and reformatting of the orientation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mandatory annual education and training module/schedule. The mandatory study days of continuing education include infection control, restraint/enabler use, moving, and handling. There are systems and processes in place to remind staff of the required mandatory modules and competencies training dates. Interviews confirmed that all staff undertake at least eight hours of relevant education per year. Staff education records evidenced the ongoing training and education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RNs including the CM were identified as interRAI competent.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reviewed also showed consistent documentation of annual performance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levels meet contractual requirements. The BCM and the CM are RNs who are available during weekends and on call after hours and weekends. Adequate on-site RN cover is provided 24 hours a day, 7 days a week. Registered nurses are supported by sufficient numbers of HCAs.</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in place for determining service provider levels and skill mix to provide safe service delivery. Rosters are completed on an electronic system and overseen by the BCM. Rosters sighted reflected that staffing levels meet resident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staff provide them with adequate care. Health care assistants (HCA) reported there are adequate staff available and that they are able to manage their work.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ORA units are located within the facility in close proximity to the RNs’ office. The residents who are receiving rest home and hospital level care in ORA units have their needs met within the environment in which they live with 24 hour care, and sufficient staffing and availability of RNs to meet their needs in accordance with the aged related residential care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w:t>
            </w:r>
          </w:p>
          <w:p w:rsidR="00EB7645" w:rsidRPr="00BE00C7" w:rsidP="00BE00C7">
            <w:pPr>
              <w:pStyle w:val="OutcomeDescription"/>
              <w:spacing w:before="120" w:after="120"/>
              <w:rPr>
                <w:rFonts w:cs="Arial"/>
                <w:b w:val="0"/>
                <w:lang w:eastAsia="en-NZ"/>
              </w:rPr>
            </w:pPr>
            <w:r w:rsidRPr="00BE00C7">
              <w:rPr>
                <w:rFonts w:cs="Arial"/>
                <w:b w:val="0"/>
                <w:lang w:eastAsia="en-NZ"/>
              </w:rPr>
              <w:t>Records were legible with the name and designation of the person making the entry identifiable. The Oaks rest home uses an electronic system for residents’ files. GP, and allied health service provider notes, discharge summaries, and referrals are scanned into the system. Each staff member has a unique password to maintain privacy and only have access to information pertinent to their scope of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details, assessments in accordance with contractual requirements and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and print off a transfer document from the software used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An example reviewed of a patient recently transferred to the local acute care facility showed appropriate action was taken.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days of audit. The staff observed demonstrated good knowledge and had a clear understanding of their roles and responsibilities related to each stage of medicine management. All staff who administer medicines are competent to perform the function they manage as verified in staff records.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There are three medication rooms, one in each wing.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registers provided evidence of weekly and six-monthly stock checks and accurate entries in all areas. Specimen signatures and medication competencies were sighted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rooms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GP review was consistently recorded on the medicine chart. Standing and verbal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were eight residents’ who were self-administering medications at the time of audit. Appropriate processes were in place to ensure this was managed in a safe manner. The resident interviewed fully understood the reasons for the medication and was confident in managing the task. Storage and documentation were appropriate.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two cooks and a kitchen team, and is in line with recognised nutritional guidelines for older people. The menu follows summer and winter patterns and has been reviewed by a qualified dietitian within the last two years (31 March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Industry and is current until 28 March 2022. Food temperatures, including for high risk items, are monitored appropriately and recorded as part of the plan. All staff have undertaken relevant food handling training. Meals are cooked on site and transported in preheated bain-maries to the three dining rooms where it is served by kitchen staff. A recent food control plan audit showed full compliance.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 meeting minutes. The chef explained that feedback is provided when he goes out and discusses the changes in the new season menu. Any resident who loses weight is seen by the chef to confirm favourite foods so these can be provided. A quality initiative has seen the development of a food focus group (refer 1.2.3) which has seen increased satisfaction of meals. Residents were seen to be given sufficient time to eat their meal in an unhurried fashion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resident and whānau/family. Examples of this occurring were discussed.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including a pain scale, falls risk, skin integrity and nutritional screening, as a means to identify any deficits and to inform care planning. The sample of care plans reviewed had an integrated range of resident-related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current interRAI assessments completed and the relevant outcome scores have supported care plan goals and interventions.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evidenced service integration with progress notes, activities notes, medical and allied health professionals’ notations either written in the progress notes or scanned into the files gallery. Any change in care required was verbally passed on to relevant staff at handover and documented in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reported participation in the development and ongoing evaluation of care plans with discussions held six monthly at multidisciplinary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that care provided to residents was consistent with their needs, goals and the plan of care. 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verified that medical input is sought in a timely manner, that medical orders are followed, and care is of a high standard.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qualified diversional therapists covering six days a week. A monthly meeting is used to plan a varied and interesting programme and to discuss and brainstorm ideas for any residents of concern. A calendar of events is posted in each residents’ room, and they are encouraged to book early for outings to ensure a seat is available. Activities were varied and suited for the residents’ abilities. Interactions and competitions are held with local rest homes.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called ‘About Me’ is undertaken on admission to ascertain residents’ needs, interests, abilities and social requirements. Activities assessments are regularly reviewed to help formulate an activities programme that is meaningful to the residents. The resident’s activity needs are evaluated by observing resident engagement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included normal community activities. Individual, group activities and regular events are offered including interaction with other local rest homes.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residents’ meetings and satisfaction surveys. Residents interviewed confirmed they find the programme stimulating.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The tool ‘stop and watch’ is being introduced and staff are encouraged to complete the forms.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reviewed and progress evaluated as clinically indicated were noted for wounds and infections. When necessary, and for unresolved problems, long term care plans are added to and updated; this was observed in the case of a chronic wound.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 for other non-urgent services are indicated or requested, the RN sends a referral to seek specialist input. Copies of referrals were sighted in residents’ files, including to the dietitian, wound nurse specialist and older persons health. The resident and the family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the management of waste and hazardous substances. The supplier of chemicals has conducted staff training and education on the use of chemicals. Safety data sheets were available and accessible for staff. Staff reported they have received training and education to ensure safe and appropriate handling of waste and hazardous substances.</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appropriate to the risks associated with waste or hazardous substances being handled are provided and being used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a preventative and reactive maintenance programme in place. Staff are aware of the process for reactive maintenance requests to ensure timely repairs are conducted. This was confirmed at staff and maintenance interviews. The maintenance staff member is supported in their role by the regional maintenance manager who was present at the audit.</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observations evidenced the facility and equipment are maintained to an adequate standard. This was confirmed in documentation reviewed and staff interviews.  The testing and tagging of equipment and calibration of biomedical equipment is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are safely maintained and are appropriate to the resident group and setting. Residents are protected from risks associated with being outside. The garden maintenance is contracted out. The gardens were reported to provide visual enjoyment for residents, staff, and families.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have appropriate equipment to meet residents’ needs. Residents confirmed they can move freely around the facility and that the accommodation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van that is used for residents’ outings, and this meets current legislative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throughout the facility have a toilet and handbasin or full ensuites.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toilets and bathrooms of an appropriate design for residents. Separate toilets are available for staff and visitors. The fixtures, fittings, floors, and wall surfaces are constructed from materials that can be easily cleaned. Toilets and showers have a system that indicates if they are vacant or occupied. Appropriately secured and approved handrails are provided along with other equipment/accessories that are required to promote residents’ independence.</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bedrooms are personalised to varying degrees. Two couples share ORA facilities. One couple has a two-bedroom unit and the other two rooms, with one room set up as a lounge area and the other the bedroom. Residents interviewed reported the current figuration works well.</w:t>
            </w:r>
          </w:p>
          <w:p w:rsidR="00EB7645" w:rsidRPr="00BE00C7" w:rsidP="00BE00C7">
            <w:pPr>
              <w:pStyle w:val="OutcomeDescription"/>
              <w:spacing w:before="120" w:after="120"/>
              <w:rPr>
                <w:rFonts w:cs="Arial"/>
                <w:b w:val="0"/>
                <w:lang w:eastAsia="en-NZ"/>
              </w:rPr>
            </w:pPr>
            <w:r w:rsidRPr="00BE00C7">
              <w:rPr>
                <w:rFonts w:cs="Arial"/>
                <w:b w:val="0"/>
                <w:lang w:eastAsia="en-NZ"/>
              </w:rPr>
              <w:t>Bedrooms are large enough to allow staff and equipment to move around safely and provide personal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access to lounges, dining areas and sitting areas/alcoves. Residents were observed moving freely within these areas. Residents confirmed there are alternative areas available to them if communal activities are being run in one of these areas and they do not wish to participate 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available. Linen and residents’ personal clothes are washed off site at another Oceania facility. Interview with the laundry staff member confirmed residents’ personal clothes such as woollen clothes are washed on site. There is a dirty to clean flow provided in the laundry. The laundry person described the management of laundry including the transportation, sorting, storage, laundering, and the return of clean laundry to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 described the cleaning process and the use of chemicals for cleaning purposes. There are safe and secure storage areas for cleaning equipment and chemicals and staff have access to these areas as required. Sluice rooms are available for the disposal of soiled water/waste. </w:t>
            </w:r>
          </w:p>
          <w:p w:rsidR="00EB7645" w:rsidRPr="00BE00C7" w:rsidP="00BE00C7">
            <w:pPr>
              <w:pStyle w:val="OutcomeDescription"/>
              <w:spacing w:before="120" w:after="120"/>
              <w:rPr>
                <w:rFonts w:cs="Arial"/>
                <w:b w:val="0"/>
                <w:lang w:eastAsia="en-NZ"/>
              </w:rPr>
            </w:pPr>
            <w:r w:rsidRPr="00BE00C7">
              <w:rPr>
                <w:rFonts w:cs="Arial"/>
                <w:b w:val="0"/>
                <w:lang w:eastAsia="en-NZ"/>
              </w:rPr>
              <w:t>Handwashing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the cleaning and laundry services is audited via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The fire evacuation scheme for the facility has been approved by the New Zealand Fire Services. The trial fire evacuations are conducted six monthly. The last fire drill was conducted in April 2021. The staff training register evidences all staff have completed first aid training and fire evacuation education.</w:t>
            </w:r>
          </w:p>
          <w:p w:rsidR="00EB7645" w:rsidRPr="00BE00C7" w:rsidP="00BE00C7">
            <w:pPr>
              <w:pStyle w:val="OutcomeDescription"/>
              <w:spacing w:before="120" w:after="120"/>
              <w:rPr>
                <w:rFonts w:cs="Arial"/>
                <w:b w:val="0"/>
                <w:lang w:eastAsia="en-NZ"/>
              </w:rPr>
            </w:pPr>
            <w:r w:rsidRPr="00BE00C7">
              <w:rPr>
                <w:rFonts w:cs="Arial"/>
                <w:b w:val="0"/>
                <w:lang w:eastAsia="en-NZ"/>
              </w:rPr>
              <w:t>There is emergency lightening, gas for cooking, emergency water supply, and blankets in case of emergency. Emergency equipment accessibility, storage and stock availability is to a level appropriate to the service setting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call bell system in place is used by the residents, and/or staff and family to summon assistance if required and is appropriate to the resident groups and settings. Call bells are accessible, within reach and are available in resident areas (refer to continuous improvement criterion 1.2.3.8).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security systems are in place and staff are aware of security processes. There are four entrances (driveways) to the facility and three of the four entrances are closed at night.  The safety of the rest home and hospital residents residing in ORA units are the same as for the residents under other contracts.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Residents and families confirmed the facility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An area outside the building is available for both residents and staff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Oaks Rest Home implements an infection prevention and control (IPC) programme to protect residents, staff and visitors from infection and to provide the highest standard of care in line with best practice. The programme is guided by a comprehensive and current infection control manual, with input from appropriate agencies and staff including clinical and quality managers, infection control nurses and other personnel within the facilities operated by Oceania Healthcare, as well as from general practitioners, pharmacists and microbiologists. The infection control programme and manual are reviewed annually (15 January 2021).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IPC coordinator, whose role and responsibilities are defined in a job description, with support and oversight from the CM. Infection control matters, including surveillance results, are reported monthly to the business care manager, the regional clinical and quality manager, nursing and clinical strategy at Oceania national support office. Matters are discussed at monthly IPC committee meetings, which are attended by the CM, RN, and representatives from kitchen, housekeeping, maintenance and health care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During periods of Covid-19 restrictions guidelines were followed from the Oceania national support office (guided by the Ministry of Health) and passed on to staff in all departments in writing. QR codes and sign in books were available for contract tracing inside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has access to relevant and current information, appropriate to the size and complexity of this service. Infection control is an agenda item at the facility’s staff meetings, evidenced during review of meeting minutes and interviews with staff. The internal audit programme includes infection control audits to monitor the implementation of the infection control programme. The IPC coordinator has completed online training in the last twelve months as verified in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Outbreak kits were available to support the programme and any outbreaks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and procedures are relevant to the service and reflected current accepted good practice and relevant legislative requirements. Policies are accessible to all personnel, stored in the nurses’ station in hard copy and online. The infection control policies and procedures are developed and reviewed regularly with input from relevant staff and the Oceania support office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education is provided to all staff and forms part of staff orientation and is part of the ongoing in-service education programme. Interviews with staff advised that clinical staff identify situations where infection control education is required for a resident, including hand hygiene and cough etiquette. The infection control staff education is provided by the CM. Additional education has been held covering pandemic management and donning and doffing personal protective equipment as recommended for Covid-19.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and CM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A computer programme generates graphs that identify trends for the current year, and comparisons against previous years. This is reported to the IPC committee and the CM and national clinical strategy team. The facility’s surveillance data is benchmarked against other Oceania facilities and this information is shared with staff and management. Benchmarking has provided assurance that infection rates in the facility are average for the sector.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A senior registered nurse is the restraint coordinator. They provide support and oversight for enabler and restraint management in the facility. The coordinator was familiar with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been restraint free since October 2019.</w:t>
            </w:r>
          </w:p>
          <w:p w:rsidR="00EB7645" w:rsidRPr="00BE00C7" w:rsidP="00BE00C7">
            <w:pPr>
              <w:pStyle w:val="OutcomeDescription"/>
              <w:spacing w:before="120" w:after="120"/>
              <w:rPr>
                <w:rFonts w:cs="Arial"/>
                <w:b w:val="0"/>
                <w:lang w:eastAsia="en-NZ"/>
              </w:rPr>
            </w:pPr>
            <w:r w:rsidRPr="00BE00C7">
              <w:rPr>
                <w:rFonts w:cs="Arial"/>
                <w:b w:val="0"/>
                <w:lang w:eastAsia="en-NZ"/>
              </w:rPr>
              <w:t>One resident was using bed rails as an enabler voluntarily. Documentation sighted confirmed that the resident chooses to use both bed rails to enable movement in the bed.</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from interviews with staff who are actively involved in the ongoing process of minimisation. Regular training occurs and review of restraint and enabler use is completed and discussed at all quality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8358"/>
        <w:gridCol w:w="227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evidence related to retention of staff in the facility (Refer criteria 1.2.7.4 for example, of continuous the improvements in retention of staff).</w:t>
            </w:r>
          </w:p>
          <w:p w:rsidR="00EB7645" w:rsidRPr="00BE00C7" w:rsidP="00BE00C7">
            <w:pPr>
              <w:pStyle w:val="OutcomeDescription"/>
              <w:spacing w:before="120" w:after="120"/>
              <w:rPr>
                <w:rFonts w:cs="Arial"/>
                <w:b w:val="0"/>
                <w:lang w:eastAsia="en-NZ"/>
              </w:rPr>
            </w:pPr>
            <w:r w:rsidRPr="00BE00C7">
              <w:rPr>
                <w:rFonts w:cs="Arial"/>
                <w:b w:val="0"/>
                <w:lang w:eastAsia="en-NZ"/>
              </w:rPr>
              <w:t>A quality improvement register and a file is maintained. There have been four improvements since 2020. These cover a range of improvements, call bell response, resident meal satisfaction, communication and GP schedule. The rationale and outcome for each improvement is documented. Quality plans are developed for each project for situations that require additional input to achieve the desired outcome. Action plans include the area identified, the actions required, responsibilities, timeframes, and evaluations of the actions taken prior to closure.</w:t>
            </w:r>
          </w:p>
          <w:p w:rsidR="00EB7645" w:rsidRPr="00BE00C7" w:rsidP="00BE00C7">
            <w:pPr>
              <w:pStyle w:val="OutcomeDescription"/>
              <w:spacing w:before="120" w:after="120"/>
              <w:rPr>
                <w:rFonts w:cs="Arial"/>
                <w:b w:val="0"/>
                <w:lang w:eastAsia="en-NZ"/>
              </w:rPr>
            </w:pPr>
            <w:r w:rsidRPr="00BE00C7">
              <w:rPr>
                <w:rFonts w:cs="Arial"/>
                <w:b w:val="0"/>
                <w:lang w:eastAsia="en-NZ"/>
              </w:rPr>
              <w:t>a) Call bell: The implementation of a new call bell system enabled response times to be monitored. The decision was made to monitor this over a six-month period and give feedback to staff when the response times were over six minutes. Data collected indicated the facility wing, time of day, and any day of the week. Data collected was evaluated and indicated the response time numbers significantly decreased. For example, on the 27 July 2020 in Magnolia wing, there were 24 instances when the bell response was over six minutes. On the 17 August 2020 this had reduced to three instances. The data indicates a quicker response to answering bells resulting in improved resident satisfaction and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 Resident meal satisfaction: The September 2020 resident satisfaction survey and meal feedback questionnaires noted residents were unhappy with the meals provided at the facility. A group of residents, one from each wing, were invited to attend a newly developed meal focus group. The focus group meets every two months with different residents invited to each meeting. The facility menu and options are discussed with residents giving feedback on both content and the naming of the dishes. For example, the residents all agreed to have a savoury item for morning tea and a sweet for the afternoon tea choice. Data collected and collated indicates 90% satisfaction with the food service, an increase from 83%. Residents interviewed confirmed they had input into the food choices and enjoyed being part of this month’s focus group. </w:t>
            </w:r>
          </w:p>
          <w:p w:rsidR="00EB7645" w:rsidRPr="00BE00C7" w:rsidP="00BE00C7">
            <w:pPr>
              <w:pStyle w:val="OutcomeDescription"/>
              <w:spacing w:before="120" w:after="120"/>
              <w:rPr>
                <w:rFonts w:cs="Arial"/>
                <w:b w:val="0"/>
                <w:lang w:eastAsia="en-NZ"/>
              </w:rPr>
            </w:pPr>
            <w:r w:rsidRPr="00BE00C7">
              <w:rPr>
                <w:rFonts w:cs="Arial"/>
                <w:b w:val="0"/>
                <w:lang w:eastAsia="en-NZ"/>
              </w:rPr>
              <w:t>c) Communication: A need for further communication methods to residents and families was highlighted in the initial stages of the Covid-19 lockdown. Various methods were investigated and implemented. With all methods still being utilised at the time of audit. Communication methods included ‘skype’, phone tree, email, and a closed group on ‘Facebook’. The Facebook page allows residents’ families to view photos and videos and to promote events. May 2021 data indicates 150 members. The Oceania healthcare social media policy covers the rights and responsibilities of managing a social media page.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 GP Schedule: The schedule was formulated to ensure all residents’ health conditions have been reviewed at least monthly for hospital level care and three monthly for rest home level care residents. The schedule was presented to the GP and compared with the GPs own data. The lead RN emails the GP the list of the expected consultations and reviews for the week. The GP then prioritises all assessments and if required can review any non-urgent until the following week. The RN ensures the non-urgent resident is placed on the list for the following week. GPs reported that the new schedule is helpful to ensure all residents are seen as required and their time is better utilised. All residents’ reviews were current at the time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Several internal projects have been implemented using the action plan process, this included defining the goal, implementation and evaluation of progress resulting in improved patient safety and increased resident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reported staff retention has been an issue. Thought was given as to how to attract and retain staff. The decision was taken to improve the orientation process for all new staff, thereby ensuring they feel expected and welcomed from the first day. The process included: </w:t>
            </w:r>
          </w:p>
          <w:p w:rsidR="00EB7645" w:rsidRPr="00BE00C7" w:rsidP="00BE00C7">
            <w:pPr>
              <w:pStyle w:val="OutcomeDescription"/>
              <w:spacing w:before="120" w:after="120"/>
              <w:rPr>
                <w:rFonts w:cs="Arial"/>
                <w:b w:val="0"/>
                <w:lang w:eastAsia="en-NZ"/>
              </w:rPr>
            </w:pPr>
            <w:r w:rsidRPr="00BE00C7">
              <w:rPr>
                <w:rFonts w:cs="Arial"/>
                <w:b w:val="0"/>
                <w:lang w:eastAsia="en-NZ"/>
              </w:rPr>
              <w:t>a) a memo was distributed to all team leads to ensure the focus of the orientation process and expectation of the timetable to be arranged before the new employee arrives.</w:t>
            </w:r>
          </w:p>
          <w:p w:rsidR="00EB7645" w:rsidRPr="00BE00C7" w:rsidP="00BE00C7">
            <w:pPr>
              <w:pStyle w:val="OutcomeDescription"/>
              <w:spacing w:before="120" w:after="120"/>
              <w:rPr>
                <w:rFonts w:cs="Arial"/>
                <w:b w:val="0"/>
                <w:lang w:eastAsia="en-NZ"/>
              </w:rPr>
            </w:pPr>
            <w:r w:rsidRPr="00BE00C7">
              <w:rPr>
                <w:rFonts w:cs="Arial"/>
                <w:b w:val="0"/>
                <w:lang w:eastAsia="en-NZ"/>
              </w:rPr>
              <w:t>b) new employee checklist of tasks completed to ensure prior to arrival everything is ready, such as, uniform ordered, name badge and passwords/logins activated.</w:t>
            </w:r>
          </w:p>
          <w:p w:rsidR="00EB7645" w:rsidRPr="00BE00C7" w:rsidP="00BE00C7">
            <w:pPr>
              <w:pStyle w:val="OutcomeDescription"/>
              <w:spacing w:before="120" w:after="120"/>
              <w:rPr>
                <w:rFonts w:cs="Arial"/>
                <w:b w:val="0"/>
                <w:lang w:eastAsia="en-NZ"/>
              </w:rPr>
            </w:pPr>
            <w:r w:rsidRPr="00BE00C7">
              <w:rPr>
                <w:rFonts w:cs="Arial"/>
                <w:b w:val="0"/>
                <w:lang w:eastAsia="en-NZ"/>
              </w:rPr>
              <w:t>c) prior to arrival the orientation programme and their orientation ‘buddy’s’ name are emailed to the new employee.</w:t>
            </w:r>
          </w:p>
          <w:p w:rsidR="00EB7645" w:rsidRPr="00BE00C7" w:rsidP="00BE00C7">
            <w:pPr>
              <w:pStyle w:val="OutcomeDescription"/>
              <w:spacing w:before="120" w:after="120"/>
              <w:rPr>
                <w:rFonts w:cs="Arial"/>
                <w:b w:val="0"/>
                <w:lang w:eastAsia="en-NZ"/>
              </w:rPr>
            </w:pPr>
            <w:r w:rsidRPr="00BE00C7">
              <w:rPr>
                <w:rFonts w:cs="Arial"/>
                <w:b w:val="0"/>
                <w:lang w:eastAsia="en-NZ"/>
              </w:rPr>
              <w:t>Staffing has reduced from:</w:t>
            </w:r>
          </w:p>
          <w:p w:rsidR="00EB7645" w:rsidRPr="00BE00C7" w:rsidP="00BE00C7">
            <w:pPr>
              <w:pStyle w:val="OutcomeDescription"/>
              <w:spacing w:before="120" w:after="120"/>
              <w:rPr>
                <w:rFonts w:cs="Arial"/>
                <w:b w:val="0"/>
                <w:lang w:eastAsia="en-NZ"/>
              </w:rPr>
            </w:pPr>
            <w:r w:rsidRPr="00BE00C7">
              <w:rPr>
                <w:rFonts w:cs="Arial"/>
                <w:b w:val="0"/>
                <w:lang w:eastAsia="en-NZ"/>
              </w:rPr>
              <w:t>a) turnover: 37% November 2020 to 27% July 2021.</w:t>
            </w:r>
          </w:p>
          <w:p w:rsidR="00EB7645" w:rsidRPr="00BE00C7" w:rsidP="00BE00C7">
            <w:pPr>
              <w:pStyle w:val="OutcomeDescription"/>
              <w:spacing w:before="120" w:after="120"/>
              <w:rPr>
                <w:rFonts w:cs="Arial"/>
                <w:b w:val="0"/>
                <w:lang w:eastAsia="en-NZ"/>
              </w:rPr>
            </w:pPr>
            <w:r w:rsidRPr="00BE00C7">
              <w:rPr>
                <w:rFonts w:cs="Arial"/>
                <w:b w:val="0"/>
                <w:lang w:eastAsia="en-NZ"/>
              </w:rPr>
              <w:t>b) overtime: 3.8 thousand November 2020 to nothing July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 the use of bureau staff was last utilised in November 2020. </w:t>
            </w:r>
          </w:p>
          <w:p w:rsidR="00EB7645" w:rsidRPr="00BE00C7" w:rsidP="00BE00C7">
            <w:pPr>
              <w:pStyle w:val="OutcomeDescription"/>
              <w:spacing w:before="120" w:after="120"/>
              <w:rPr>
                <w:rFonts w:cs="Arial"/>
                <w:b w:val="0"/>
                <w:lang w:eastAsia="en-NZ"/>
              </w:rPr>
            </w:pPr>
            <w:r w:rsidRPr="00BE00C7">
              <w:rPr>
                <w:rFonts w:cs="Arial"/>
                <w:b w:val="0"/>
                <w:lang w:eastAsia="en-NZ"/>
              </w:rPr>
              <w:t>Newly employed staff interviewed confirmed the orientation package was emailed prior to arrival, and they felt welcome and part of the team from the first day with all computer passwords activated, a uniform and a name badge available on the first day.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project regarding improving staff retention has resulted in a reduction of staff turnover, overtime and has stopped the use of bureau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The Oaks Rest Home and Village</w:t>
    </w:r>
    <w:bookmarkEnd w:id="58"/>
    <w:r>
      <w:rPr>
        <w:rFonts w:cs="Arial"/>
        <w:sz w:val="16"/>
        <w:szCs w:val="20"/>
      </w:rPr>
      <w:tab/>
      <w:t xml:space="preserve">Date of Audit: </w:t>
    </w:r>
    <w:bookmarkStart w:id="59" w:name="AuditStartDate1"/>
    <w:r>
      <w:rPr>
        <w:rFonts w:cs="Arial"/>
        <w:sz w:val="16"/>
        <w:szCs w:val="20"/>
      </w:rPr>
      <w:t>11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