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Palm Grove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 Grove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September 2021</w:t>
      </w:r>
      <w:bookmarkEnd w:id="7"/>
      <w:r w:rsidRPr="009418D4">
        <w:rPr>
          <w:rFonts w:cs="Arial"/>
        </w:rPr>
        <w:tab/>
        <w:t xml:space="preserve">End date: </w:t>
      </w:r>
      <w:bookmarkStart w:id="8" w:name="AuditEndDate"/>
      <w:r w:rsidR="00A4268A">
        <w:rPr>
          <w:rFonts w:cs="Arial"/>
        </w:rPr>
        <w:t>15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Palm Grove Rest Home and Village provides rest home and hospital level care for up to 85 residents.</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the review of policies and procedures, review of residents’ and staff files, and observation and interviews with residents, family members, managers, staff, and a nurse practitioner.</w:t>
      </w:r>
    </w:p>
    <w:p w:rsidRPr="00A4268A">
      <w:pPr>
        <w:spacing w:before="240" w:line="276" w:lineRule="auto"/>
        <w:rPr>
          <w:rFonts w:eastAsia="Calibri"/>
        </w:rPr>
      </w:pPr>
      <w:r w:rsidRPr="00A4268A">
        <w:rPr>
          <w:rFonts w:eastAsia="Calibri"/>
        </w:rPr>
        <w:t>The residents and family members spoke positively about the care provided.</w:t>
      </w:r>
    </w:p>
    <w:p w:rsidRPr="00A4268A">
      <w:pPr>
        <w:spacing w:before="240" w:line="276" w:lineRule="auto"/>
        <w:rPr>
          <w:rFonts w:eastAsia="Calibri"/>
        </w:rPr>
      </w:pPr>
      <w:r w:rsidRPr="00A4268A">
        <w:rPr>
          <w:rFonts w:eastAsia="Calibri"/>
        </w:rPr>
        <w:t>The audit has resulted in one continuous improvement rating in relation to continually improving the quality of services. There was one area requiring improvement identified, related to laundry services.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at admission and these are respected. Personal privacy, independence, individuality and dignity are supported. Staff were seen interacting with residents in a respectful manner during the audit. </w:t>
      </w:r>
    </w:p>
    <w:p w:rsidRPr="00A4268A">
      <w:pPr>
        <w:spacing w:before="240" w:line="276" w:lineRule="auto"/>
        <w:rPr>
          <w:rFonts w:eastAsia="Calibri"/>
        </w:rPr>
      </w:pPr>
      <w:r w:rsidRPr="00A4268A">
        <w:rPr>
          <w:rFonts w:eastAsia="Calibri"/>
        </w:rPr>
        <w:t>Open communication between staff, residents and families is promoted, and confirmed to be effective by the relatives and residents interviewed.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seen or reported by those interviewed,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and is responsible for the services provided at this facility. The mission, vision and values of the organisation are documented and communicated to all concerned. There are systems in place for monitoring the services provided, including regular reporting by the business and care manager to the Oceania national support office.</w:t>
      </w:r>
    </w:p>
    <w:p w:rsidRPr="00A4268A">
      <w:pPr>
        <w:spacing w:before="240" w:line="276" w:lineRule="auto"/>
        <w:rPr>
          <w:rFonts w:eastAsia="Calibri"/>
        </w:rPr>
      </w:pPr>
      <w:r w:rsidRPr="00A4268A">
        <w:rPr>
          <w:rFonts w:eastAsia="Calibri"/>
        </w:rPr>
        <w:t xml:space="preserve">The facility is managed by an experienced and qualified business and care manager with aged care experience and have been in this position for four years. The clinical manager is responsible for the oversight of the clinical services in the facility. </w:t>
      </w:r>
    </w:p>
    <w:p w:rsidRPr="00A4268A">
      <w:pPr>
        <w:spacing w:before="240" w:line="276" w:lineRule="auto"/>
        <w:rPr>
          <w:rFonts w:eastAsia="Calibri"/>
        </w:rPr>
      </w:pPr>
      <w:r w:rsidRPr="00A4268A">
        <w:rPr>
          <w:rFonts w:eastAsia="Calibri"/>
        </w:rPr>
        <w:t>There is an internal audit and quality programme. Risks are identified, and a hazard register is in place. Adverse events are documented on the electronic accident/incident form. Facility meetings are held where there is reporting on various clinical indicators, quality and risk issues, and discussion on identified trends. Graphs of clinical indicators are available for staff to view along with meeting minutes.</w:t>
      </w:r>
    </w:p>
    <w:p w:rsidRPr="00A4268A">
      <w:pPr>
        <w:spacing w:before="240" w:line="276" w:lineRule="auto"/>
        <w:rPr>
          <w:rFonts w:eastAsia="Calibri"/>
        </w:rPr>
      </w:pPr>
      <w:r w:rsidRPr="00A4268A">
        <w:rPr>
          <w:rFonts w:eastAsia="Calibri"/>
        </w:rPr>
        <w:t xml:space="preserve">There are policies and procedures on human resources management. A mandatory education programme is provided for staff. There is a documented rationale for determining staffing levels and skill mixes to provide safe service delivery that is based on best practice.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COVID-19 requirements are clearly displayed. </w:t>
      </w:r>
    </w:p>
    <w:p w:rsidRPr="00A4268A" w:rsidP="00621629">
      <w:pPr>
        <w:spacing w:before="240" w:line="276" w:lineRule="auto"/>
        <w:rPr>
          <w:rFonts w:eastAsia="Calibri"/>
        </w:rPr>
      </w:pPr>
      <w:r w:rsidRPr="00A4268A">
        <w:rPr>
          <w:rFonts w:eastAsia="Calibri"/>
        </w:rPr>
        <w:t xml:space="preserve">The multidisciplinary team, including a registered nurse and nurse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and this is displayed. </w:t>
      </w:r>
    </w:p>
    <w:p w:rsidRPr="00A4268A">
      <w:pPr>
        <w:spacing w:before="240" w:line="276" w:lineRule="auto"/>
        <w:rPr>
          <w:rFonts w:eastAsia="Calibri"/>
        </w:rPr>
      </w:pPr>
      <w:r w:rsidRPr="00A4268A">
        <w:rPr>
          <w:rFonts w:eastAsia="Calibri"/>
        </w:rPr>
        <w:t xml:space="preserve">There is a reactive and preventative maintenance programme, and this includes equipment and electrical checks. Fixtures, fittings and floor and wall surfaces are made of suitable materials for this environment. </w:t>
      </w:r>
    </w:p>
    <w:p w:rsidRPr="00A4268A">
      <w:pPr>
        <w:spacing w:before="240" w:line="276" w:lineRule="auto"/>
        <w:rPr>
          <w:rFonts w:eastAsia="Calibri"/>
        </w:rPr>
      </w:pPr>
      <w:r w:rsidRPr="00A4268A">
        <w:rPr>
          <w:rFonts w:eastAsia="Calibri"/>
        </w:rPr>
        <w:t>Residents’ bedrooms are of an appropriate size for the safe use and manoeuvring of mobility aids, and to allow for care to be provided. Lounges, dining areas, and sitting alcoves are available for residents and their visitors. External areas and gardens are safe for residents to mobilise around.</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 xml:space="preserve">Protective equipment and clothing are provided and used by staff. Chemicals are safely stored. The laundry service is conducted by a separate Oceania Healthcare company (Christchurch Centralised Laundry) located on the same site. </w:t>
      </w:r>
    </w:p>
    <w:p w:rsidRPr="00A4268A">
      <w:pPr>
        <w:spacing w:before="240" w:line="276" w:lineRule="auto"/>
        <w:rPr>
          <w:rFonts w:eastAsia="Calibri"/>
        </w:rPr>
      </w:pPr>
      <w:r w:rsidRPr="00A4268A">
        <w:rPr>
          <w:rFonts w:eastAsia="Calibri"/>
        </w:rPr>
        <w:t>Cleaning of the facility is conducted by household staff and monitored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there were no restraints in use. Restraint is only used as a last resort when all other options have been explored. Enablers are voluntary with two residents using bedrails as voluntary enablers.</w:t>
      </w:r>
    </w:p>
    <w:p w:rsidRPr="00A4268A">
      <w:pPr>
        <w:spacing w:before="240" w:line="276" w:lineRule="auto"/>
        <w:rPr>
          <w:rFonts w:eastAsia="Calibri"/>
        </w:rPr>
      </w:pPr>
      <w:r w:rsidRPr="00A4268A">
        <w:rPr>
          <w:rFonts w:eastAsia="Calibri"/>
        </w:rPr>
        <w:t>Staff receive education relating to the use of and management of restraints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is overseen by a registered nurse who has recently taken up the role of infection control officer. This person is supported by an experienced infection control officer with over five years’ experience.  The programme aims to prevent and manage infections and is reviewed annually. COVID-19 information and requirements have been added recently providing detailed instructions.  </w:t>
      </w:r>
    </w:p>
    <w:p w:rsidRPr="00A4268A">
      <w:pPr>
        <w:spacing w:before="240" w:line="276" w:lineRule="auto"/>
        <w:rPr>
          <w:rFonts w:eastAsia="Calibri"/>
        </w:rPr>
      </w:pPr>
      <w:r w:rsidRPr="00A4268A">
        <w:rPr>
          <w:rFonts w:eastAsia="Calibri"/>
        </w:rPr>
        <w:t>Specialist infection prevention and control advice is accessed from the local district health board infection prevention and control nurse specialists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74"/>
        <w:gridCol w:w="1280"/>
        <w:gridCol w:w="858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Palm Grove Rest Home and Village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as part of the ongoing yearly requirements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families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However, all spoken with stated they were able to have issues addressed promptly, by going directly to the care and business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outside of any COVID-19 restrictions,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family are advised on admission to the facility of the complaint process and the Code. The complaints forms are displayed and accessible within the facility. Staff interviews confirmed their awareness of the complaint process. Residents and families demonstrated an understanding and awareness of this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(BCM) is responsible for complaints management. A complaints register is maintained. The register noted nine complaints, eight in 2020 and one for 2021. All are closed.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currently with any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able to express their familiarity with the Code and the Nationwide Health and Disability Advocacy Service (Advocacy Service).  Family members interviewed confirmed these had been discussed with them prior to their relative entering the service and that they had received information about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in both English and te reo Māori was sighted on display. Information on advocacy services and how to make a complaint were available in the reception area at the front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Throughout the audit, staff were observed to maintain residents’ privacy, and where relevant, to give residents choices. The clinical manager stated that health care assistants are regularly reminded of the need to make sure curtains and doors are shut when doing personal cares. All residents have a private room and a private ensuite. Families confirmed that the residents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maintain their independence. Documentation in the care plans described each person’s level of independence according to their abilities and staff were observed assisting residents and reminding them of the next step in a process, as with hand washing, eating a meal and a person receiving their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then annually. Family members interviewed informed they had not seen any signs of any type of abuse, or examples of disrespect, in this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interviewed reported that staff acknowledge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 sections of the care plans and the activity plans included records about the culture, values and beliefs of the residents. Individualised responses are recorded, and applicable personal preferences and special needs are integrated into the interventions for care planning and activity plans that were reviewed. Family members verified that their relative was consulted on their individual culture, values and beliefs and that from what they hear and see, the staff respected these. According to the clinical manager, excepting for those who identify as Māori, all other residents identify as New Zealand/European. Two residents leave the facility on a regular basis specifically for cultural or spiritual reasons. An interdenominational service is held within the facility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and two visiting health professionals who were interviewed, stated that residents were free from any type of discrimination, harassment or exploitation. The induction process for staff includes education related to professional boundaries, expected behaviours and the Code of Conduct. Staff sign a Code of Conduct when they commence employment.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input from external specialist services and allied health professionals, including the mental health services for older persons and the palliative care nurses with whom there is open communication whenever needed. The nurse practitioner confirmed the service seeks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workshops and there are ample opportunities for in-service education.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good communication between staff and residents, ensuring residents were happy and comfortable and providing immediate attention if there was anything they could assist with. The activity programme is diverse and involves residents at both individual and group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status. They also informed they are advised in a timely manner about any incidents or accidents and the outcomes of regular and any urgent medical reviews. This was supported by notes in the family communication section of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knows how to access interpreter services, although reported this has not been required recently. Staff can also provide interpretation when it is needed. Staff informed that there have been times when pen and paper has been used to assist with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Palm Grove Rest Home and Village (Palm Grove) is part of the Oceania Healthcare Limited (Oceania). The Oceania executive management team provide support to the facility with the regional clinical and operations managers providing support during this on-site audit. The business and care manager (BCM) provides the executive management team with monthly progress against identified indicators. Oceania has an overarching business plan, and Palm Grove has a business plan specific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Posters observed at the entrance of the facility and information booklets are available for residents, staff and family and include the organisation’s mission statement, values, and goals.</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the overall management of the service and has been in this role since 2017. The BCM has experience in management of aged residential care facilities. The BCM is supported by a clinical manager (CM) who is responsible for the oversight of clinical services. The CM is a registered nurse (RN) with experience in aged residential care and has been at Palm Grove for over 12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85 residents, with 77 dual purpose beds occupied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This included:</w:t>
            </w:r>
          </w:p>
          <w:p w:rsidR="00EB7645" w:rsidRPr="00BE00C7" w:rsidP="00BE00C7">
            <w:pPr>
              <w:pStyle w:val="OutcomeDescription"/>
              <w:spacing w:before="120" w:after="120"/>
              <w:rPr>
                <w:rFonts w:cs="Arial"/>
                <w:b w:val="0"/>
                <w:lang w:eastAsia="en-NZ"/>
              </w:rPr>
            </w:pPr>
            <w:r w:rsidRPr="00BE00C7">
              <w:rPr>
                <w:rFonts w:cs="Arial"/>
                <w:b w:val="0"/>
                <w:lang w:eastAsia="en-NZ"/>
              </w:rPr>
              <w:t>- 41 residents requiring rest home level care, with 30 under an occupied rights agreement (ORA).</w:t>
            </w:r>
          </w:p>
          <w:p w:rsidR="00EB7645" w:rsidRPr="00BE00C7" w:rsidP="00BE00C7">
            <w:pPr>
              <w:pStyle w:val="OutcomeDescription"/>
              <w:spacing w:before="120" w:after="120"/>
              <w:rPr>
                <w:rFonts w:cs="Arial"/>
                <w:b w:val="0"/>
                <w:lang w:eastAsia="en-NZ"/>
              </w:rPr>
            </w:pPr>
            <w:r w:rsidRPr="00BE00C7">
              <w:rPr>
                <w:rFonts w:cs="Arial"/>
                <w:b w:val="0"/>
                <w:lang w:eastAsia="en-NZ"/>
              </w:rPr>
              <w:t>- 34 residents requiring hospital level care, with 14 under an occupied rights agreement (ORA), two under 65 years of age under a physical long term care contract, and two under an ACC contract.</w:t>
            </w:r>
          </w:p>
          <w:p w:rsidR="00EB7645" w:rsidRPr="00BE00C7" w:rsidP="00BE00C7">
            <w:pPr>
              <w:pStyle w:val="OutcomeDescription"/>
              <w:spacing w:before="120" w:after="120"/>
              <w:rPr>
                <w:rFonts w:cs="Arial"/>
                <w:b w:val="0"/>
                <w:lang w:eastAsia="en-NZ"/>
              </w:rPr>
            </w:pPr>
            <w:r w:rsidRPr="00BE00C7">
              <w:rPr>
                <w:rFonts w:cs="Arial"/>
                <w:b w:val="0"/>
                <w:lang w:eastAsia="en-NZ"/>
              </w:rPr>
              <w:t>- two residents under an end-of-life hospital level care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BCM is absent, the CM carries out all the required duties under delegated authority, with support from the regional operations manager and the regional clinical manager. For an extended period of leave of the BCM, a relief BCM would be assigned the responsibility, as confirmed at management interviews. If the CM is on leave, a senior registered nurse (RN) would have oversight of clinical care.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 current arrangements works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Palm Grove uses the Oceania quality and risk management system that reflects the principles of continuous quality improvement. A continuous improvement rating has been awarded related to the effectiveness of the corrective action process which has resulted in increased opportunities for improvement of services, outcomes,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management group reviews all policies with input from internal experts. Policies reviewed cover the necessary aspects of the service and contractual requirements, including reference to the interRAI long-term care facility (LTCF) assessment tool and process. Policies included references to current best practice and legislative requirements. New and revised policies are introduced to staff at meetings and policy updates are also presented as part of relevant in-service education. Staff interviewed confirmed that they are alerted to new and revised policies and receive opportunities to read and understand the policies.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key performance indicators and implementation of an audit programme. Clinical indicators are collated monthly and benchmarked against other Oceania facilities. Oceania is currently reviewing this process to ensure clinical indictors are benchmarked for a 12 month rather than the current three-monthly periods.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aspects of the service and are completed by the CM. Audit data is collected, collated, and analysed at the facility. Results are reported on the electronic system which can be viewed by the Oceania national support office. Interviewed staff reported that they are kept informed of audit activities and results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residents and families are completed as part of the internal audit programme on a six-monthly basis. Interviews with staff, residents, and family confirmed a satisfaction survey was completed. The August 2021 survey had been collated and analysed and communicated to staff, family, and residents as evidenced in meeting minutes and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for example, staff and quality initiative meetings, and RN meetings, and residents’ meetings. Minutes of meetings evidenced communication with staff around aspects of quality improvement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Palm Grove has a risk management programme in place. Health and safety policies and procedures are documented along with a hazard management programme. There was evidence of hazard identification forms completed when a hazard was identified. The BCM is responsible for maintaining the hazard register. A senior healthcare assistant is the health and safety officer and has received appropriate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recording near misses. Staff are documenting adverse, unplanned, or untoward events in the electronic accident/incident management system. Incident/accident forms are completed by staff who either witnessed an adverse event or were the first to respond. Accident and incident forms are reviewed by the clinical manager and signed off when completed. The RNs undertake assessments of residents following an accident. Neurological observations and falls risk assessments are completed following accidents/incidents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for example, health and safety, human resources, and infection control. The BCM is aware of situations in which the service would need to report and notify statutory authorities, including police attending the facility, unexpected deaths, sentinel events, notification of a pressure injuries, infectious disease outbreaks, and changes in key clinical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A sample of staff records reviewed confirmed the organisation’s policies are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There are systems in place to ensure that annual practising certificates are current. Current certificates were evidenced in reviewed records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documentation sighted included necessary components to the role. Health care assistants (HCA) interviewed identified they are paired with a senior HCA until they demonstrate competency on specific tasks, such as hand hygiene or moving and handling. Staff interviewed reported that the orientation process prepared them well for their role. Staff records reviewed showed consistent documentation of completed staff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annual education and training module/schedule. The mandatory study days of continuing education include infection control, restraint/enabler use, moving, and handling. There are systems and processes in place to remind staff of the required mandatory modules and competencies training dates. Interviews confirmed that all staff undertake at least eight hours of relevant education per year. Staff education records evidenced the ongoing training and education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RNs including the CM were identified as interRAI competent. </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also showed consistent documentation of annual performance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meet contractual requirements. The CM are RNs who are available during weekends and on call after hours and weekends. Adequate on-site RN cover is provided 24 hours a day, seven days a week. Registered nurses are supported by enough HCAs.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 to provide safe service delivery. Rosters are completed on an electronic system and overseen by the BCM. Rosters sighted reflected that staffing levels meet residents’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staff provide them with adequate care. Health care assistants (HCA) reported there are adequate staff available and that they can manage their work.</w:t>
            </w:r>
          </w:p>
          <w:p w:rsidR="00EB7645" w:rsidRPr="00BE00C7" w:rsidP="00BE00C7">
            <w:pPr>
              <w:pStyle w:val="OutcomeDescription"/>
              <w:spacing w:before="120" w:after="120"/>
              <w:rPr>
                <w:rFonts w:cs="Arial"/>
                <w:b w:val="0"/>
                <w:lang w:eastAsia="en-NZ"/>
              </w:rPr>
            </w:pPr>
            <w:r w:rsidRPr="00BE00C7">
              <w:rPr>
                <w:rFonts w:cs="Arial"/>
                <w:b w:val="0"/>
                <w:lang w:eastAsia="en-NZ"/>
              </w:rPr>
              <w:t>The ORA units are located within the facility in close proximity to the nurses’ stations. The residents who are receiving rest home and hospital level care in ORA units have their needs met within the environment in which they live with 24-hour care, and sufficient staffing and availability of RNs to meet their needs in accordance with the aged related residential care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nurse practitioner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off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medical staff and families before residents access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An example reviewed of a patient recently transferred to the local DHB acute hospital showed a copy of recent progress notes, a clear transfer form indicating current functioning and care needs, along with a copy of the prescribed medication sheet.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registered nurse checks medications against the prescription prior to use and this is recorded in the electronic medicine management system.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nurse practitioner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was self-administering all their medications at the time of audit. Appropriate processes including locked drawer and three-monthly checks, were in place at the time of the audit, to ensure this was managed in a safe manner. The clinical manager indicated a number of residents, thought to be nine, were self-administering their own inhaler, however this was checked at each medication round. A locked drawer is provided by the facility in each resident’s room for this.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There were no medication errors in recent months according to the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executive chef and kitchen team and is in line with recognised nutritional guidelines for older people. The menu follows summer and winter patterns and has been reviewed by a qualified dietitian within the last two years - latest being on 31 March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Quality Auditing Specialists Ltd, expiring on 28 March 2022. Food temperatures, including for high-risk items, are monitored appropriately and recorded as part of the plan. The executive chef and kitchen team have completed relevant food safety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have access to food and fluids to meet their nutritional needs at all times including during the night. Special equipment, to meet resident’s nutritional needs, is available and was seen being used at mealtimes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mini-nutritional screening and continence assessments,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Families reported participation in the development and ongoing evaluation of care plans but also stated that staff regularly provide updates when they call into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nurse practitioner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an assistant and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on admission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satisfaction surveys. Residents interviewed confirmed they find the programme has a lot of variety and is interesting. Activities have been altered to fit within the COVID-19 alert levels. Village and care facility have been walking group has been integrated to create a varied and interesting regular walking group between the two areas. This has allowed the creation of natural friendships onsite also (Refer CI rating 1.2.3.8).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nurse practitioner, residents may choose to use another medical practitioner. If the need for other non-urgent services are indicated or requested, the nurse practitioner or registered nurse sends a referral to seek specialist input. Copies of referrals were sighted in residents’ files, including one to a wound clinic and one to palliative care. The resident and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management of waste and hazardous substances. The supplier of chemicals has conducted staff training and education on the use of chemicals. Safety data sheets were available and accessible for staff. Staff reported they have received training and education to ensure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are provided and being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preventive and reactive maintenance programme in place. Staff are aware of the processes of reactive maintenance requests to ensure timely repairs are conducted. This was confirmed at care staff and maintenance staff interviews. The maintenance staff member is supported in their role by a regional maintenance manager and a relieving maintenance person who was present at the audit.</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facility and equipment are maintained to an adequate standard. This was confirmed in documentation reviewed and staff interviews. The testing and tagging of equipment and calibration of biomedical equipment was current.</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safely, maintained and are appropriate to the resident group and setting. Residents are protected from risks associated with being outside. The gardens maintenance is contracted out and these were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van that is used for residents’ outings, and this meets current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Bedrooms throughout the facility have full ensuites. There is one bedroom, with only a handbasin that is used for respite care residents, this was vacant at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bathrooms of an appropriate design for residents. Separate toilets are available for staff and visitors. The fixtures, fittings, floors, and wall surfaces are constructed from materials that can be easily cleaned. Toilets and showers have a system that indicates if they are vacant or occupied. Appropriately secured and approved handrails are provided along with other equipment/accessories that are required to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are personalised to varying degrees. One married couple share one dual purpose ORA facilities. This consists of a separate lounge and bedroom unit. Residents interviewed reported the current figuration works well. The DHB is aware that the two residents occupy one dual purpose room, and the facility will require an increase in the numbers to occupy if occupancy numbers are over the agreed 85.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are considered dual occupancy and large enough to allow staff and equipment to move around safely and provide personal space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access to lounges, dining areas and sitting areas/alcoves. Residents were observed moving freely within these areas. Residents confirmed there are alternative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available. Laundry is completed by the Christchurch Centralised Laundry (CCL) which is located on the same site as Palm Grove. Improvement is required to ensure an appropriate barrier between clean and contaminated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described the cleaning process and the use of chemicals for cleaning purposes. There are safe and secure storage areas for cleaning equipment and chemicals and staff have access to these areas as required. Sluice rooms are available for the disposal of soiled water/waste. </w:t>
            </w:r>
          </w:p>
          <w:p w:rsidR="00EB7645" w:rsidRPr="00BE00C7" w:rsidP="00BE00C7">
            <w:pPr>
              <w:pStyle w:val="OutcomeDescription"/>
              <w:spacing w:before="120" w:after="120"/>
              <w:rPr>
                <w:rFonts w:cs="Arial"/>
                <w:b w:val="0"/>
                <w:lang w:eastAsia="en-NZ"/>
              </w:rPr>
            </w:pPr>
            <w:r w:rsidRPr="00BE00C7">
              <w:rPr>
                <w:rFonts w:cs="Arial"/>
                <w:b w:val="0"/>
                <w:lang w:eastAsia="en-NZ"/>
              </w:rPr>
              <w:t>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The fire evacuation scheme for the facility has been approved by the New Zealand Fire Services. The trial fire evacuations are conducted six monthly. The last fire drill was conducted in June 2021. The staff training register evidences all staff have completed first aid training and fire evacuation education.</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lightening, gas for cooking, emergency water supply, and blankets in case of emergency. Emergency equipment accessibility, storage and stock availability is to a level appropriate to the service setting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in place is used by the residents, and/or staff and family to summon assistance if required and is appropriate to the resident groups and settings. Call bells are accessible, within reach and are available in resident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security systems including internal security cameras are in place staff and families confirmed an awareness of security processes. </w:t>
            </w:r>
          </w:p>
          <w:p w:rsidR="00EB7645" w:rsidRPr="00BE00C7" w:rsidP="00BE00C7">
            <w:pPr>
              <w:pStyle w:val="OutcomeDescription"/>
              <w:spacing w:before="120" w:after="120"/>
              <w:rPr>
                <w:rFonts w:cs="Arial"/>
                <w:b w:val="0"/>
                <w:lang w:eastAsia="en-NZ"/>
              </w:rPr>
            </w:pPr>
            <w:r w:rsidRPr="00BE00C7">
              <w:rPr>
                <w:rFonts w:cs="Arial"/>
                <w:b w:val="0"/>
                <w:lang w:eastAsia="en-NZ"/>
              </w:rPr>
              <w:t>The safety of the rest home and hospital residents residing in ORA units are the same as for the residents under other contracts/arrangements.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both residents and staff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local DHB infection control nurse specialists.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officer, whose role and responsibilities are defined in a job description that was sighted. This person accepted the role approximately six months prior to the audit and is being supported by the clinical manager, who was previously the infection control officer for five years. Additional support is available form head office in Auckland, which includes nurses with many years of extensive IPC experience. Infection control matters, including infection surveillance results, are reported to the infection committee in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Guidance is also included on all matters related to COVID-19 and actions at the different alert levels is present. Actions required of all visitors upon entry to the care facility is clearly stated.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officer has appropriate skills and knowledge for the role and has been in this role for six months. She is supported by the clinical manager who carried out the role for the past five years. They have undertaken relevant study run by the local DHB IPC nurse specialist, as verified in training records sighted. Additional support and information are accessed from the infection control team at the DHB, the community laboratory, the nurse practitioner and public health unit, as required. The IPC officer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officer confirmed the availability of resources to support the programme and any outbreak of an infection. Sufficient stores of IPC equipment for use in an emergency or outbreak, were sighted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March 2021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suitably qualified RNs and the IPC officer.  Content of the training is documented and evaluated to ensure it is relevant, current and understood. A record of attendance is maintained. Training reoccurs annually and includes hand hygiene, pandemic procedures, outbreak actions, ‘donning and doffing’ of PPE.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an infection outbreak or an increase in infection incidence has occurred, there was evidence that additional staff education has been provided in response. An example of this occurred when there was an outbreak of astrovirus in May 2021. Appropriate action had been taken at the time as indicated by the IPC officer and clinical manager. All external reporting is carried out by head office based in Auckland.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infections and multi drug resistant infections including methicillin-resistant staphylococcus aureus and extended spectrum beta-lactamases in particular. The IPC officer reviews all reported infections and these are documented. New infections and any required management plan are discussed at handover, to ensure early intervention occurs. Short term care plans are created for these residents’ infections, which are available to other staff to be aware of the required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month and year, with comparisons against previous months and years and this is reported to the IPC committee, quality meeting and to the main office.  </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A senior registered nurse is the restraint coordinator. They provide support and oversight for enabler and restraint management in the facility. The coordinator was familiar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restraint free since May 2021.</w:t>
            </w:r>
          </w:p>
          <w:p w:rsidR="00EB7645" w:rsidRPr="00BE00C7" w:rsidP="00BE00C7">
            <w:pPr>
              <w:pStyle w:val="OutcomeDescription"/>
              <w:spacing w:before="120" w:after="120"/>
              <w:rPr>
                <w:rFonts w:cs="Arial"/>
                <w:b w:val="0"/>
                <w:lang w:eastAsia="en-NZ"/>
              </w:rPr>
            </w:pPr>
            <w:r w:rsidRPr="00BE00C7">
              <w:rPr>
                <w:rFonts w:cs="Arial"/>
                <w:b w:val="0"/>
                <w:lang w:eastAsia="en-NZ"/>
              </w:rPr>
              <w:t>Two residents were using bed rails as enablers voluntarily. Documentation sighted confirmed that the residents choose to use both bed rails to enable movement in bed.</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59"/>
        <w:gridCol w:w="1280"/>
        <w:gridCol w:w="6949"/>
        <w:gridCol w:w="2768"/>
        <w:gridCol w:w="14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 Palm Grove utilises the CCL laundry services, which is located on the same site. </w:t>
            </w:r>
          </w:p>
          <w:p w:rsidR="00EB7645" w:rsidRPr="00BE00C7" w:rsidP="00BE00C7">
            <w:pPr>
              <w:pStyle w:val="OutcomeDescription"/>
              <w:spacing w:before="120" w:after="120"/>
              <w:rPr>
                <w:rFonts w:cs="Arial"/>
                <w:b w:val="0"/>
                <w:lang w:eastAsia="en-NZ"/>
              </w:rPr>
            </w:pPr>
            <w:r w:rsidRPr="00BE00C7">
              <w:rPr>
                <w:rFonts w:cs="Arial"/>
                <w:b w:val="0"/>
                <w:lang w:eastAsia="en-NZ"/>
              </w:rPr>
              <w:t>Palm Grove contaminated laundry is placed in a laundry pod located in the clean corridor on the CCL site. Staff interviewed including the onsite laundry supervisor explained the process for transporting Palm Grove laundry. This included placement of contaminated laundry into the laundry pod located in the clean laundry corridor. Laundry staff then transport the pod past the clean laundry to the laundry for washing and drying processes. Once processed the laundry is placed into specific Palm Grove laundry pods located in the clean corridor. When required for distribution back to Palm Grove the clean laundry is transported past the contaminated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The CCL provides a centralised laundry service for Oceania facilities in Christchurch.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regional manager (RM) located in Nelson and an onsite laundry supervisor (LS). At interview the RM and LS confirmed although there have been infection control outbreaks, such as norovirus, at facilities in Christchurch, there has been no documented reported incidents of any cross contamination.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Validation of the machines are completed six monthly and environmental audits are completed as per the schedule by Palm Grove. </w:t>
            </w:r>
          </w:p>
          <w:p w:rsidR="00EB7645" w:rsidRPr="00BE00C7" w:rsidP="00BE00C7">
            <w:pPr>
              <w:pStyle w:val="OutcomeDescription"/>
              <w:spacing w:before="120" w:after="120"/>
              <w:rPr>
                <w:rFonts w:cs="Arial"/>
                <w:b w:val="0"/>
                <w:lang w:eastAsia="en-NZ"/>
              </w:rPr>
            </w:pPr>
            <w:r w:rsidRPr="00BE00C7">
              <w:rPr>
                <w:rFonts w:cs="Arial"/>
                <w:b w:val="0"/>
                <w:lang w:eastAsia="en-NZ"/>
              </w:rPr>
              <w:t>The laundry has one external door for collection and dispatching of all laundry. This is located in the designated dirty area along with the washing machines and dryers. Another separate area is designated clean and is utilised as a storage area for clean linen, sorting and ironing of residents’ personal clothing. (Refer comments above regarding location of Palm Grove laundry pods).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staff included the management of transportation of contaminated and clean laundry to all facilities. Laundry pods are utilised for the collection and dispatching of laundry on all sites.</w:t>
            </w:r>
          </w:p>
          <w:p w:rsidR="00EB7645" w:rsidRPr="00BE00C7" w:rsidP="00BE00C7">
            <w:pPr>
              <w:pStyle w:val="OutcomeDescription"/>
              <w:spacing w:before="120" w:after="120"/>
              <w:rPr>
                <w:rFonts w:cs="Arial"/>
                <w:b w:val="0"/>
                <w:lang w:eastAsia="en-NZ"/>
              </w:rPr>
            </w:pPr>
            <w:r w:rsidRPr="00BE00C7">
              <w:rPr>
                <w:rFonts w:cs="Arial"/>
                <w:b w:val="0"/>
                <w:lang w:eastAsia="en-NZ"/>
              </w:rPr>
              <w:t>A van is utilised to collect contaminated and dispatch laundry pods. The LS explained that there is only one door leading to the dispatching area and the same doorway is used for both collection and dispatching of laundry; however, this does not ensure a separate clean and dirty flow. This was observed at audit. The LS reported that care is taken by staff to ensure the dispatching of clean laundry to minimise the risk of contamination.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Palm Grove soiled linen is stored in an area that is not separated by an appropriate space or physical barrier from that where the cleaned linen is stored or dispatched.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The CCL laundry service processes do not ensure clean linen from being contaminated by soiled linen or other matter present in the laundry. For example, there is no appropriate barrier for transport of clean linen away (at least 2m) from the soiled linen.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current laundry services prevent contamination from dirty to clean linen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97"/>
        <w:gridCol w:w="1280"/>
        <w:gridCol w:w="8387"/>
        <w:gridCol w:w="19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register and a file is maintained. The file reviewed at audit noted several quality improvements projects, for example, medication health care assistant (HAC) handbook, the appointment of a guest services manager and a project to improve lost property. One significant project ‘trail blazers’ has resulted in increased resident satisfaction and improvement in the residents’ physical and mental wellbeing.</w:t>
            </w:r>
          </w:p>
          <w:p w:rsidR="00EB7645" w:rsidRPr="00BE00C7" w:rsidP="00BE00C7">
            <w:pPr>
              <w:pStyle w:val="OutcomeDescription"/>
              <w:spacing w:before="120" w:after="120"/>
              <w:rPr>
                <w:rFonts w:cs="Arial"/>
                <w:b w:val="0"/>
                <w:lang w:eastAsia="en-NZ"/>
              </w:rPr>
            </w:pPr>
            <w:r w:rsidRPr="00BE00C7">
              <w:rPr>
                <w:rFonts w:cs="Arial"/>
                <w:b w:val="0"/>
                <w:lang w:eastAsia="en-NZ"/>
              </w:rPr>
              <w:t>The March 2020 resident satisfaction survey noted 9% strongly disagreed that the current activities programme meets their needs. One of the challenges of the activity programme is to cater to residents of different cognitive and physical abilities. Palm Grove has a small number of residents who are more able and felt limited by the limits of the rest of the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Palm Grove village is located alongside the care centre. This led to an opportunity to develop an activity that would benefit both groups. Trailblazers was established as a social walking group. This group connects rest home residents and village residents in social conversation while enjoying longer walks, up to one hour in duration, and excursions out of the care centre. The guest services coordinator facilitates the outings. The residents help choose the walking track. A village resident walks at the back of the group to monitor safety of the residents. The kitchen team provides a picnic lunch to have after the walk. </w:t>
            </w:r>
          </w:p>
          <w:p w:rsidR="00EB7645" w:rsidRPr="00BE00C7" w:rsidP="00BE00C7">
            <w:pPr>
              <w:pStyle w:val="OutcomeDescription"/>
              <w:spacing w:before="120" w:after="120"/>
              <w:rPr>
                <w:rFonts w:cs="Arial"/>
                <w:b w:val="0"/>
                <w:lang w:eastAsia="en-NZ"/>
              </w:rPr>
            </w:pPr>
            <w:r w:rsidRPr="00BE00C7">
              <w:rPr>
                <w:rFonts w:cs="Arial"/>
                <w:b w:val="0"/>
                <w:lang w:eastAsia="en-NZ"/>
              </w:rPr>
              <w:t>Evaluation of the project included feedback from residents and family members. Feedback is positive, a resident reporting, ‘I’m only 77 and very active. I often keep to myself in my room, getting out with trail blazers has been a blessing.’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August 2021 resident survey noted that overall residents were now satisfied with the current activities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Implementation of the ‘trail blazers’ project has resulted in increased resident satisfaction and improved resident physical and mental wellbeing.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Palm Grove Rest Home and Village</w:t>
    </w:r>
    <w:bookmarkEnd w:id="58"/>
    <w:r>
      <w:rPr>
        <w:rFonts w:cs="Arial"/>
        <w:sz w:val="16"/>
        <w:szCs w:val="20"/>
      </w:rPr>
      <w:tab/>
      <w:t xml:space="preserve">Date of Audit: </w:t>
    </w:r>
    <w:bookmarkStart w:id="59" w:name="AuditStartDate1"/>
    <w:r>
      <w:rPr>
        <w:rFonts w:cs="Arial"/>
        <w:sz w:val="16"/>
        <w:szCs w:val="20"/>
      </w:rPr>
      <w:t>14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