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Mountain View</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Mountain View</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September 2021</w:t>
      </w:r>
      <w:bookmarkEnd w:id="7"/>
      <w:r w:rsidRPr="009418D4">
        <w:rPr>
          <w:rFonts w:cs="Arial"/>
        </w:rPr>
        <w:tab/>
        <w:t xml:space="preserve">End date: </w:t>
      </w:r>
      <w:bookmarkStart w:id="8" w:name="AuditEndDate"/>
      <w:r w:rsidR="00A4268A">
        <w:rPr>
          <w:rFonts w:cs="Arial"/>
        </w:rPr>
        <w:t>17 September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Summerset Mountain View provides rest home and hospital (geriatric and medical) level care for up to 72 residents (including 20 serviced apartments certified for rest home level care).  On the day of the audit there were 60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staff and general practitioner.  </w:t>
      </w:r>
    </w:p>
    <w:p w:rsidRPr="00A4268A">
      <w:pPr>
        <w:spacing w:before="240" w:line="276" w:lineRule="auto"/>
        <w:rPr>
          <w:rFonts w:eastAsia="Calibri"/>
        </w:rPr>
      </w:pPr>
      <w:r w:rsidRPr="00A4268A">
        <w:rPr>
          <w:rFonts w:eastAsia="Calibri"/>
        </w:rPr>
        <w:t xml:space="preserve">The village manager is appropriately qualified and experienced and is supported by a care centre manager (registered nurse) who oversees the clinical services.  There are quality systems and processes being implemented.  Induction and in-service training programmes are in place to provide staff with appropriate knowledge and skills to deliver care.  The residents and relatives interviewed spoke positively about the care and support provided.  </w:t>
      </w:r>
    </w:p>
    <w:p w:rsidRPr="00A4268A">
      <w:pPr>
        <w:spacing w:before="240" w:line="276" w:lineRule="auto"/>
        <w:rPr>
          <w:rFonts w:eastAsia="Calibri"/>
        </w:rPr>
      </w:pPr>
      <w:r w:rsidRPr="00A4268A">
        <w:rPr>
          <w:rFonts w:eastAsia="Calibri"/>
        </w:rPr>
        <w:t xml:space="preserve">This audit has identified an area for improvement around implementation of interventions.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functions in a way that complies with the Health and Disability Commissioner’s (HDC) Code of Health and Disability Services Consumers' Rights (the Code).  Information about the Code and related services are readily available to residents and families.  Policies are available that support residents’ rights.  Cultural assessment is undertaken on admission and during the review process.  Residents and family interviewed verified ongoing involvement with the community.  Care plans accommodate the choices of residents and/or their family.  Complaints processes are being addressed in line with HDC requirements.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Summerset Mountain View has an established quality and risk management system that supports the provision of clinical care.  Key components of the quality management system link to a number of meetings including (but not limited to) monthly quality improvement and weekly executive meetings.  Annual surveys and regular resident meetings provide residents and families with opportunities for feedback about the service.  Quality performance is reported to staff at meetings and includes discussions relating to incidents, infections and internal audit results.  There are human resources policies that cover recruitment, selection, orientation and staff training and development.  The service has an orientation programme that provides new staff with relevant information for safe work practice.  There is an in-service training programme covering relevant aspects of care.  There is a staffing policy with safe staffing levels implemented.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admission/welcome pack available for potential residents and families.  The registered nurses complete risk assessments, interRAI assessments, initial and long-term care plans and evaluations within the required timeframes.  Allied health professionals are involved in the care of the residents.  The general practitioner reviews residents at least three-monthly. </w:t>
      </w:r>
    </w:p>
    <w:p w:rsidRPr="00A4268A" w:rsidP="00621629">
      <w:pPr>
        <w:spacing w:before="240" w:line="276" w:lineRule="auto"/>
        <w:rPr>
          <w:rFonts w:eastAsia="Calibri"/>
        </w:rPr>
      </w:pPr>
      <w:r w:rsidRPr="00A4268A">
        <w:rPr>
          <w:rFonts w:eastAsia="Calibri"/>
        </w:rPr>
        <w:t xml:space="preserve">A team of diversional therapists for the care centre provides a varied and interesting programme seven days a week.  Residents can attend integrated activities in the village.  The activities meet the individual recreational needs and preferences of the residents.  There are outings into the community and visiting entertainers.  </w:t>
      </w:r>
    </w:p>
    <w:p w:rsidRPr="00A4268A" w:rsidP="00621629">
      <w:pPr>
        <w:spacing w:before="240" w:line="276" w:lineRule="auto"/>
        <w:rPr>
          <w:rFonts w:eastAsia="Calibri"/>
        </w:rPr>
      </w:pPr>
      <w:r w:rsidRPr="00A4268A">
        <w:rPr>
          <w:rFonts w:eastAsia="Calibri"/>
        </w:rPr>
        <w:t xml:space="preserve">There are medicine management policies in place that meets legislative requirements.  Staff responsible for the administration of medications complete annual medication competencies and education.  The general practitioner reviews the medication charts three monthly.  </w:t>
      </w:r>
    </w:p>
    <w:p w:rsidRPr="00A4268A" w:rsidP="00621629">
      <w:pPr>
        <w:spacing w:before="240" w:line="276" w:lineRule="auto"/>
        <w:rPr>
          <w:rFonts w:eastAsia="Calibri"/>
        </w:rPr>
      </w:pPr>
      <w:r w:rsidRPr="00A4268A">
        <w:rPr>
          <w:rFonts w:eastAsia="Calibri"/>
        </w:rPr>
        <w:t xml:space="preserve">All meals are prepared on site by a contracted service.  The menu is reviewed by a dietitian.  Resident's individual dietary needs were identified and accommodated.  Food services staff have attended food safety and hygiene training.  Residents commented positively on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were documented processes for the management of waste and hazardous substances in place, and incidents are reported in a timely manner.  Chemicals were stored safely throughout the facility.  The building has a current warrant of fitness.  Resident apartments are spacious and personalised.  Resident rooms in the care centre were spacious enough for the use of mobility and transferring equipment.  All communal areas including the gardens and grounds were easily accessible and seating and shade is provided.  There are procedures for civil defence and other emergencies.  Adequate civil defence supplies were sighted.  There is one person on duty at all times with a current first aid certificate.  Housekeeping/laundry staff maintain a clean and tidy environment.  Laundry and linen for rest home residents are laundered on site.  There is plenty of natural light in all rooms and the environment is comfortable with adequate ventilation and heating.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are documented policies and procedures around restraint use and use of enablers.  During the audit, there were four residents using restraint and no residents using an enabler.  Staff training around the use of restraint and enablers is provided.  Restraint is only used as a last resort.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coordinator/RN is responsible for overseeing the infection control programme, collation of infection events, coordinating and providing education and training for staff.  The infection control coordinator is supported by personnel at head office and an infection control committee.  The infection control manual outlined the scope of the programme and included a comprehensive range of policies and guidelines including Covid outbreak management.  The infection control coordinator uses the information obtained through surveillance to determine infection control activities, resources and education needs within the facility.  The service engages in benchmarking with other Summerset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66"/>
        <w:gridCol w:w="1280"/>
        <w:gridCol w:w="979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twenty staff (twelve caregivers, three registered nurses (RNs), one diversional therapist, one kitchen manager, one property manager, one laundry and one housekeeper) confirmed their familiarity with the Health and Disability Commissioner (HDC) Code of Health and Disability Services Consumers’ Rights (the Code) and its application to their job role and responsibilities.  Observations during the audit also confirmed this in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guide staff regarding informed consent, resuscitation and advance directives.  Informed consent is discussed with residents and families on admission.  Written general consent (including photographs for identification, display and media) was obtained and sighted in the eight electronic resident files reviewed (four rest home, including one respite care resident and four hospital level residents, including one ACC respite care resident).  The admission agreement also includes permissions granted.  Specific consents were signed for influenza and Covid vaccines.  Care staff interviewed confirmed consent is obtained when delivering cares.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Resuscitation orders had been appropriately signed by the resident and general practitioner.  The service acknowledges the resident is for resuscitation in the absence of a signed directive by the resident.  Advance directives and copies of enduring power of attorney were available on the resident file as applicable.  </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family members identified that the service actively involves them in decisions that affect their relative’s lives.  Eight admission agreements sighted (including the two short-stay residents) were signed.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on entry to the service.  Residents interviewed confirmed they are aware of their right to access independent advocacy services and advocacy pamphlets are available at reception.  Discussions with relatives confirmed the service provided opportunities for the family/enduring power of attorney (EPOA) to be involved in decisions.  The resident files include information on residents’ family/whānau and chosen social networks.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designated health advocate (interviewed) lives near the retirement village.  They have an education and managerial background and can tap into their knowledge and awareness of professional boundaries to ensure that a professional approach is undertaken.  Positive initiatives (albeit delayed by Covid lockdowns) since this individual accepted the advocate role include a buddy system between village and care centre residents to enhance social networks and community engagement.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Visitors were observed coming and going during the audit.  Interviews with staff, residents and relatives confirmed residents are supported and encouraged to remain involved in the community and external groups.  Relatives and friends are encouraged to be involved with the service and care.  The service promotes community visitors to the village and encourages resident involvement.  Community links are primarily within the village.  Visitors to the facility include pet therapy, entertainers and the local Catholic church.  Volunteer visits had been temporarily suspended due to Covid restrictions.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readily available.  Information about complaints is provided on admission.  Interviews with residents and family members confirmed their understanding of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electronic complaint register that includes verbal and written complaints and evidence to confirm that complaints are being managed in a timely manner including acknowledgement, investigation, timelines, corrective actions (when required) and resolutions.  In the year to date there were three complaints received with evidence of robust follow-up actions taken and feedback provided in staff meetings including corrective actions (if any).  </w:t>
            </w:r>
          </w:p>
          <w:p w:rsidR="00EB7645" w:rsidRPr="00BE00C7" w:rsidP="00BE00C7">
            <w:pPr>
              <w:pStyle w:val="OutcomeDescription"/>
              <w:spacing w:before="120" w:after="120"/>
              <w:rPr>
                <w:rFonts w:cs="Arial"/>
                <w:b w:val="0"/>
                <w:lang w:eastAsia="en-NZ"/>
              </w:rPr>
            </w:pPr>
            <w:r w:rsidRPr="00BE00C7">
              <w:rPr>
                <w:rFonts w:cs="Arial"/>
                <w:b w:val="0"/>
                <w:lang w:eastAsia="en-NZ"/>
              </w:rPr>
              <w:t>Complainants are provided with information on how to access advocacy services through the Health and Disability Commissioner if resolution is not to their satisfaction.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information to residents that include the Code, complaints and advocacy.  Information is given to the family or the enduring power of attorney (EPOA) to read to and/or discuss with the resident. Seven relatives (five rest home and two hospital) and three residents (one hospital and two rest home) were interviewed, confirming the services being provided and have been well informed of resident rights in line with the Code.  Three monthly resident meetings are held with the activities staff and the care centre manager, and monthly residents’ meetings are held with the facility advocate.  These meetings provide the opportunity for residents to raise concerns.  An annual residents/relatives survey is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staff interviewed were able to describe the procedures for maintaining confidentiality of resident records, resident’s privacy and dignity.  House rules and a code of conduct are signed by staff at commencement of employment.  Contact details of spiritual/religious advisors are available.  Residents and relatives interviewed reported that residents are able to choose to engage in activities and access community resources.  There is an elder abuse and neglect policy.  Staff education and training on abuse and neglect last occurred in May and July 2021 with 38 attending.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has a Māori health plan that includes a description of how they achieve the requirements set out in the contract.  There are supporting policies that provide recognition of Māori values and beliefs and identify culturally safe practices for Māori.  At the time of the audit there was one resident who identified as Māori.  Links are established with Tui Ora, a local Māori health provider for the Taranaki area.  A local kaumātua was consulted on the current Māori health plan.  Staff interviewed were able to describe how they can ensure they meet the cultural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appropriate/able are invited to be involved.  Individual beliefs and values are further discussed and incorporated into the care plan.  Six monthly multi-disciplinary team meetings occur to assess if needs are being met.  Family is invited to attend.  Discussion with family/whānau confirmed values and beliefs are considered.  Residents interviewed confirmed that staff take into account their culture and values.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and staff sign a copy on employment.  The monthly staff meetings include discussions on professional boundaries and concerns as they arise.  Management provides guidelines and mentoring for specific situations.  Interviews with managers and staff confirmed their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spoke positively about the care and support provided.  Staff have a sound understanding of principles of aged care and stated that they feel supported by the village manager and care centre manager.  All Summerset facilities have a master copy of policies which have been developed in line with current accepted best practice and are reviewed regularly.  The content of policy and procedures are sufficiently detailed to allow effective implementation by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improvement programme that includes performance monitoring against clinical indicators and benchmarking against like services within the Summerset group of aged care facilities.  There is evidence of education being supported outside of the training plan.  There are implemented competencies for caregivers and registered nurses including (but not limited to): insulin administration, medication, wound care and manual handling.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Examples of quality initiatives implemented over the past year include a project addressing falls documentation and neurological observations, the increase of influenza vaccine take up and the Covid-19 vaccine rollout.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gives a comprehensive range of information regarding the scope of service provided to the resident and their family on entry to the service and any items they are to pay for that are not covered by the agreement.  Regular contact is maintained with family including if an incident or care/health issue arises.  Family members interviewed stated they were well informed.  Eighteen incident/accident forms were reviewed, and all identified that the next of kin were contacted.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resident’s meetings chaired by a resident advocate where any issues or concerns to residents are able to be discussed.  Minutes are maintained and show follow-up actions for resolution of matters raised.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available for access to DHB interpreter services.  The information pack is available in large print and can be read to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Mountain View provides rest home and hospital level care for up to 52 residents in the care centre with rooms being approved for both rest home and hospital level residents.  There are also 20 apartments in the same building which are certified for rest home level of care.  On the day of the audit there were 52 residents in the main care centre- 33 rest home level and 19 hospital level.  Of the 20 apartments certified, 8 were occupied by residents receiving rest home level of care, giving a total occupancy of 60 residents.  All residents were under the aged residential care contract (ARCC) apart from one respite, and one long term resident funded by ACC.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retirement village attached (with no certified apartments) as part of the complex with overall management of the site provided by a village manager who has been employed at Summerset for over 6 years and has a background in banking.  The village manager attends ARC meetings and villager manager meetings and related education sessions.  The village manager is supported by a care centre manager/RN.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is managed by a care centre manager (RN) who has been in her role for one year, having practised as an RN and midwife in New Zealand and overseas for over 35 years.  She is assisted by two clinical nurse leaders (CNL).  The care centre manager has completed a site induction and a role specific orientation.  The care centre manager has completed a post graduate qualification in leadership and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and risk management plan for 2021 which plan is updated each year with evidence of regular review of the facility’s goals and objectives throughout the year.  Quality is overseen by the organisation’s regional quality manager who was available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care centre manager have maintained greater than eight hours of professional development activities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care centre manager, the CNLs provide clinical leadership/oversight and the village manager is delegated operational responsibilities.  The regional operations manager and the regional quality manager provide oversight and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Mountain View is implementing an organisational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Policies and procedures reflect evidence of regular reviews as per the document control schedule.  New and/or revised policies are made available for staff to read and sign that they have read and understand the changes. Village managers and care centre managers are held accountable for their implementation.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has a ‘clinical audit, training and compliance’ calendar.  The calendar schedules the training and audit requirements for the month.  The village manager and care centre manager complete monthly reports confirming completion of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implementing an internal audit programme that includes environmental, infection control, health and safety, consumer rights and aspects of clinical care.  Corrective action plans and re-audits are completed if audit results are less than expected. Staff are kept informed of audit findings and quality initiatives, evidenced in the range of meeting minutes (e.g., quality, RN, caregiver).  There are monthly accident/incident benchmarking reports completed by the care centre manager that break down the data collected across the rest home and hospital. Infection control is also included as part of benchmarking across the organisation.  Data is analysed and corrective actions are required based on benchmarking outcomes.   The regional quality manager is alerted automatically through the RMSS system of any high-level accident/incidents (resident, staff and environmental).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meeting schedule was sighted which included monthly quality improvement meetings, staff meetings, registered nurse meetings and care staff meetings.  The infection control coordinator provides a monthly report and health and safety committee meetings are held.  Quality data such as infections, accidents/incident, hazards, restraint, audit outcomes, concerns/complaints are discussed and documented in meeting minutes.  The monthly collating of quality and risk data includes (but is not limited to) residents’ falls, bruising, skin tears and infection rates.  Meeting minutes and quality data reports and graphs are available to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satisfaction survey is conducted each year.  Results for 2020 reflect high levels of resident satisfaction with the services received.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and risk management programme in place including policies to guide practice that is generated from the national health and safety committee.  The service has a health and safety officer (interviewed) who is the village manager, with external health and safety qualifications.  The health and safety committee review incidents/accidents/hazards and near misses and provide a report to the quality improvement meeting.  Staff interviewed confirmed they are informed when health and safety meetings are due and have the opportunity to provide input into health and safety.  Each month there is a focus on one of the golden rules of safety.  All staff and contractors receive a health and safety induction.  Data relating to health and safety is entered into the electronic Risk Management Support System (RMSS).  Hazard identification forms and a hazard register (reviewed July 2021) are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a comprehensive set of data relating to adverse, unplanned and untoward events.  This includes the collection of incident and accident (events) information.  The reporting system is integrated into the quality and risk management programme.  Eighteen incident reports, held electronically, were sampled (eleven unwitnessed falls, one pressure injury, three medication errors, and three soft tissue injuries (skin tear/bruises).  All eighteen events sampled evidenced clinical follow-up.  Adverse events are reviewed and investigated by the care centre manager.  If risks are identified these are processed as hazards.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and care centre confirmed their awareness of statutory requirements in relation to essential notification.  Section 31 notifications since the previous audit have included two instances of threatening behaviour, two outbreaks, and change of care centre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list of RN and allied health practising certificates is maintained.  Nine staff files were reviewed (two caregivers, three RNs including CNLs, one diversional therapist, two housekeepers and one laundry).  Evidence of signed employment contracts, job descriptions, completed orientation that is specific to their job duties, and attendance at greater than eight hours of education and training annually were sighted.  Annual performance appraisals for staff are conducted annually.  Interviews with the care centre manager and caregivers confirmed that the orientation programme includes a period of supervision.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for each role that provides new staff with relevant information for safe work practice.  Staff interviewed were able to describe the orientation process and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plan that is outlined on the ‘clinical audit, training and compliance calendar’.  The plan had been fully completed for 2020 and is on track currently for 2021.  There are good attendance numbers and staff who do not attend are required to read the education material and sign the reading sheet.  The training programme is flexible enough to add additional in-services relevant to the service, including externally facilitated training such as palliative care, syringe drivers and wound care.  Caregivers undertake Careerforce education and to date eight have achieved level 4, ten level 3, thirteen level 2 and fourteen have started on the qualification pathway at level 0.  Of the registered nurses, six are interRAI trained.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with different requirements according to work type (e.g., caregivers, registered nurse and kitchen).  The competencies for registered nurses include (but are not limited to), medication, restraint, syringe driver and insulin administration.  A record of core competency completion is maintained on staff files and online.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job descriptions available for all relevant positions that describe staff roles, responsibilities and accountabilities. The practising certificates of nurses are current. The service also maintains copies of other visiting practitioners practising certificates including GP, pharmacist and physiotherapist.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60 residents (19 hospital level and 41 rest home level, including 8 in serviced apartments).  The care centre manager is a registered nurse who is rostered Monday – Friday.  She is supported by two RNs on the AM shift (one clinical nurse lead [CNL] and one RN), two RNs on the PM shift (or one RN and one enrolled nurse [EN]) and one RN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caregivers are rostered on the AM shift (six long shifts and two short shifts).  Six caregivers are also rostered on the PM shift (four long and two short shifts) and three caregivers are rostered on the night shift.  With any increase in resident numbers and/or an increase in resident acuity, short shift caregivers have the flexibility to have their shifts extended.  Additionally, there is a full shift caregiver rostered for the serviced apartments on the lower floor AM and PM.  Relatives and residents confirmed there were sufficient staff on duty.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files are protected from unauthorised access.  Care plans and progress notes are documented electronically.  Resident files demonstrate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a needs assessment completed prior to entry that identifies the level of care required.  The care centre manager (CCM) or clinical nurse leader on duty screens all potential enquiries to ensure the service can meet the required level of care and specific needs of the resident.  There is an admission/welcome booklet that outlines the services provided at Summerset Mountain 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stated that they received sufficient information on admission and there was discussion regarding the admission agreement.  The admission agreement reviewed aligns with a) - k) of the ARC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exit discharge and transfer policy describes guidelines for death, discharge, transfer, documentation and follow-up.  All relevant information is documented and communicated to the receiving health provider or service.  Follow-up occurs to check that the resident is settled or, in the case of death, communication with the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medicine management policies and procedures that align with recognised standards and guidelines for safe medicine management practice.  Medication competent RNs, EN and senior caregivers are responsible for the administration of medications in the care centre and the rest home residents in the serviced apartments.  They have completed annual competences and medication education.  The RNs have completed syringe driver competency.  Medications for the care centre and serviced apartments are stored safely in the main medication room.  Regular medications (in robotic rolls) and as required (in blister packs or bottles) are checked on delivery by an RN against the electronic medication chart and signed in as pack checked.  Any discrepancies are fed back to the supplying pharmacy.  There are monthly checks for stock level and expiry dates of ‘as required’ and hospital stock.  Eye drops had been dated on opening.  There was one rest home resident self-medicating with a current self-medication competency.  The medication fridge and medication room air temperature are monitored daily, and temperatures recorded were within acceptable limits.  An air conditioning unit in the medication room is set on 21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electronic resident medication charts (eight rest home and eight hospital) were reviewed.  Medication charts had photograph identification and allergy status recorded.  Staff recorded the effectiveness of ‘as required’ medications.  All medication charts reviewed identified that the GP had reviewed the medication chart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contracted company is responsible for the provision of meals on site, and to the village café.  The kitchen manager/chef (interviewed) is supported by a team of cooks, assistant cook, dishwashers and café staff.  There is a four-week rotating seasonal menu which has been reviewed by a dietitian last May 2021.  There are two options for the midday main meal and a savoury tea menu.  The kitchen manager receives a dietary requirement form from the RN for each resident and is notified if there are any changes to dietary requirements or residents with weight loss.  Dislikes and food allergies are accommodated.  Pureed meals are provided as required.  Lip plates and specialised utensils are available as required.  Meals are plated and delivered in hot boxes to the serviced apartment dining room.  Meals are delivered in hot boxes and served by food services staff from the bain-marie in the care centre satellite kitchenette.     </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expires August 2022.  All food is stored safely and dated.  All temperatures for fridges, freezers, end cooked foods, inward chilled goods and cooling food is recorded on the electronic food safety system.  There are daily opening and closing checks completed including cleaning duties.  Chemicals are stored safely within the kitchen.  Staff were observed wearing correct personal protective clothing.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 has direct contact with residents during meals and receives feedback from residents and surveys.  The contracted service also completes an independent survey.  There is ongoing consultation and discussion around food services.  Residents and relatives interviewed confirmed an improvement in meals and were satisfied with the food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should this occur, is communicated to the potential resident or family/whānau and they are referred to the original referral agent for further information.  The reason for declining entry would be if there were no beds available or the service was unable to meet the residents assessed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assessment and clinical risk assessments are developed with information received on admission, including discussion with the resident and relatives.  Clinical risk assessments are completed on admission where applicable and reviewed six-monthly as part of the interRAI assessment.  Outcomes of assessment tools are used to identify the needs, supports and interventions required to meet resident goals.  Care plans identify links to the interRAI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describe the individual support and interventions required to meet the resident goals for daily activities, mobility, nutritional, cognitive, cultural, spiritual needs and medical supports.  Changes to supports and needs are updated on the care plans as they occur.  Short term care plans are used for short-term problems and are regularly reviewed.  Ongoing problems are transferred onto the long-term care plan.  Care plans demonstrate service integration and include input from allied health practitioners.  </w:t>
            </w:r>
          </w:p>
          <w:p w:rsidR="00EB7645" w:rsidRPr="00BE00C7" w:rsidP="00BE00C7">
            <w:pPr>
              <w:pStyle w:val="OutcomeDescription"/>
              <w:spacing w:before="120" w:after="120"/>
              <w:rPr>
                <w:rFonts w:cs="Arial"/>
                <w:b w:val="0"/>
                <w:lang w:eastAsia="en-NZ"/>
              </w:rPr>
            </w:pPr>
            <w:r w:rsidRPr="00BE00C7">
              <w:rPr>
                <w:rFonts w:cs="Arial"/>
                <w:b w:val="0"/>
                <w:lang w:eastAsia="en-NZ"/>
              </w:rPr>
              <w:t>There is documented evidence of resident/family involvement in the care planning process and six-monthly MDT review.  Residents/relatives interviewed confirmed they participate in the care planning process.  A long-term care plan acknowledgement form is signed.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initiates a review and if required, a GP or nurse specialist consultation when a resident’s condition changes.  Short term care plans are developed to guide staff for any resident short term health changes.  These are reviewed regularly to monitor progress against resident needs and supports.  Relatives interviewed stated their relative’s needs are met and they are kept informed of any health changes.  There was documented evidence in the resident files of family notification of any changes to health, including infections, accidents/incidents, appointments, GP visits and medication changes.  Residents interviewed stated their needs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A monthly wound register is maintained.  Electronic wound assessments with ongoing wound evaluations and treatment plans were in place for 22 residents (skin tears, skin conditions, lesions, one surgical, blister and three pressure injuries).  The wound size and photographs are used as part of the wound assessment and evaluation process.  Short-term care plans are in place for wounds.  There are three residents with facility stage 2 pressure injuries (one heel, one toe and one sacrum).  The GP reviews the wound at least three monthly and as required.  An RN is the wound nurse for the facility and has access to a wound nurse specialist at the DHB as required.  There was adequate pressure injury equipment in use and in storage viewed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monitoring forms and charts available for use including (but not limited to) pain monitoring, observations, blood sugar levels, weight, food and fluid intake, fluid balance, bowel monitoring, turning charts, restraint, neurological observations and behaviour charts.  Not all interventions/monitoring had been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team of three diversional therapists who coordinate and implement the activity programme for the care centre over seven days a week from 9 am to 4 pm.  There is an activity coordinator for the serviced apartments and village.  The programme is planned a month in advance and residents receive a copy of the weekly programme.  Some activities and entertainment are integrated with the village.  Rest home residents in serviced apartments can choose to attend the rest home or the serviced apartment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for the rest home residents is displayed and includes (but not limited to): word games and puzzles, newspaper reading, sing-a-longs, arts and crafts, movies, exercises, walks, bowls, card groups and happy hours.  There are church services, entertainers and weekly pet therapy however these have been on hold due to Covid restrictions.  There is a men’s group with monthly outings to places of interest, and a lady’s group who enjoy outings, cafes and high teas.  The sensory group is a small group for residents with memory loss who focus on sensory activities including the Inmu touch which is beneficial in reducing anxiety and enhances the emotional wellbeing in residents.  The DTs make daily contact with residents who choose to stay in their rooms and ensure their recreational needs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scenic drives on Saturdays and a group outing weekly.  All the DTs have a current first aid certificate, van hoist competency and medication competency.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former community links.  Festive events and national days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resident meetings which are open to family to attend.  Residents have the opportunity to feedback suggestions for activities and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completes activity assessments and plans and is involved in the multidisciplinary review, which includes the review of the activity plan.  Residents and relatives interviewed were happy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resident and family involvement in the evaluation of long-term care plans.  The initial care plan is evaluated prior to the development of the first long-term care plan within 21 days.  Written MDT evaluations had been completed six-monthly with input from the GP, DT, resident/relative and care staff.  InterRAI reviews are completed prior to the care plan evaluations.  Families are offered a copy of the care plan for their information.  The GP completes three monthly reviews.  The DT evaluates the activity plan at the same time as the care plan evaluation.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reviewed.  The service facilitates access to other medical and non-medical services.  Referral documentation is maintained on resident files.  Referrals seen were to visiting neurologist, community Parkinson’s educator, speech language therapist and clinical nurse specialist rheumatologist.  The service provided examples of where a resident’s condition had changed, and the resident was reassessed for a higher level of care from independent living to rest home level of care and from rest home level to hospital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Chemicals were stored safely throughout the facility.  Safety data sheets and product charts were readily accessible for staff.  There are three sluice rooms in the care centre and a sluice area in the laundry.  Personal protective clothing was readily available for staff.  Staff were seen to be wearing appropriate personal protective clothing when carrying out their duties on the day of audit.  Relevant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that expires on 6 September 2022.  There is a full-time property manager who oversees the village and serviced apartments.  He is supported by a property assistant and gardening team.  The property manager is available on call for urgent facility matters.  The is a maintenance log book in the care centre and yellow tag system for repairs.  Work orders are generated through the electronic system and signed out as completed.  There are essential contractors available 24 hours, seven days a week.  The planned maintenance schedule is set out by head office and includes internal, external, clinical and environmental maintenance.  Electrical equipment is tested and tagged annually or at least two-yearly.  Hot water temperatures in resident areas are tested and recorded monthly and maintained below 45 degrees Celsius.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Corridors are of sufficient width in all areas to allow residents to pass each other safely.  There is safe access to all communal areas and outdoor areas.  Outdoor areas provide seating and shade.  External areas are well maintained by the gardening team.  Refurbishment of vacant rooms are completed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RNs (interviewed) stated they have all the equipment required to safely provide the care documented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Serviced apartment rooms have full ensuites of an appropriate design to meet the needs of the residents.  All resident rooms in the care centre with the exception of six standard rooms have a full ensuite.  There are communal toilet/showers closely located to the standard rooms.  There are adequate numbers of communal toilets located near the communal areas.  There is a shower room that is large enough to accommodate a shower trolley if required.  The fixtures, fittings, floors and wall surfaces are constructed from materials that can be easily cleaned.  Communal toilet/shower facilities have a system that indicates if it is engaged or vacant.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room to manoeuvre mobility aids and transferring equipment safely, such as a hoist and hospital lazy boy chairs.  The doors are wide enough for ambulance trolley or evacuation chair access.  Residents and families personalise their apartment or 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the facility include a main lounge, two family rooms (with tea/coffee making facilities) and dining room in care centre.  There are spacious communal areas on the ground floor/serviced apartments including a dining room and café.  There are seating alcoves within the facility.  The communal areas and outdoor gardens and grounds are easily accessible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provide guidelines regarding the safe and efficient use of laundry services.  All linen and personal clothing is laundered on site by a designated laundry person from 8 am-4.30 pm seven days a week.  There is a defined clean/dirty area with and entry and exit door.  Laundry is delivered in bags down the chute from the care centre laundry collection room which is locked.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housekeepers in the care centre for 7.5 hours a day seven days a week.  Cleaning trolleys sighted were well-equipped and kept in designated locked cupboards when not in use.  The serviced apartment trolley has a locked chemical box and, in the care centre the housekeepers take their caddy of chemicals with them when cleaning.  There is a chemical mixing system and adequate personal protective clothing available.  Internal audits monitor the effectiveness of laundry and cleaning processes.  The chemical provider monitors the use of chemicals and provides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emergency and civil defence plan to guide staff in managing emergencies and disasters.  Emergencies and first aid are included in the mandatory in-service programme.  There is a first aid trained staff member on every shift.  Summerset Mountain View has an approved fire evacuation plan and fire drills occur six-monthly with the most recent on 27 July 2021.  Smoke alarms, sprinkler system and exit signs are in place.  The service has alternative cooking facilities (barbeque and gas hob) available in the event of a power failure.  There are five 1000 litre tanks and stored bottled water for use in an emergency.  The service holds at least three days of food storage.  Emergency power is used for lighting and call bells for up to two hours with torches readily available and solar lights that can be accessed from the garden areas.  The site has access to a company owned generator in case of power outage.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were evident in resident’s rooms, lounge areas, and toilets/bathrooms.  The facility is secured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Visual inspection evidenced that the residents have adequate natural light in the bedrooms and communal rooms, safe ventilation, and an environment maintained at a safe and comfortable temperature with central heating throughout the building.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appropriate for the size and complexity of the service.  The infection control coordinator/RN has been in the role for one year and has a job description that outlines the responsibility of the role.  The infection control programme is linked into the quality management system and it is reviewed monthly via zoom meetings held with the regional quality manager.  The infection control coordinator is supported by an infection control committee who meet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Covid screening and health declarations remain in place.  The service is currently operating under level 2 Covid restrictions.  Influenza and Covid vaccines are offered to residents and staff.  Hand sanitisers and masks are readily available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has completed infection prevention and control online learning via the DHB in July 2021 and is registered to attend the infection prevention and control conference for 2022 (due to cancellation this year).  The infection control committee meet monthly and are representative of the clinical, activities, laundry and cleaning areas.  There is access to expertise within the organisation, DHB, public health, laboratory and GPs.  There have been regular conference calls with the DHB in regard to outbreak management and preparedness.  Summerset has a Covid plan for alert levels that has been updated August 2021 with new restrictions.  Resource information was available from the Ministry of Health and DHB.  There are seven outbreak kits readily available for a resident in isolation.  There is a storage cupboard with sufficient personal protective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policies that are current and reflected the Infection Control Standard: NZS 8134:2008 legislation and good practice.  These are across the Summerset organisation and were reviewed last in April 2021.  The infection control policies are available on the intranet and a hard copy manual is available to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 and providing education and training to staff.  The orientation package includes specific training around hand washing competencies, standard precautions and use of personal protective equipment.  Ongoing training occurs annually as part of the training calendar set at head office.  There has been additional training provided around Covid outbreak management, pandemic planning, alert levels and correct use of personal protective equipment/donning and doffing.  Staff had been kept informed through regular memos and daily handovers.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occurs as part of providing daily cares.  Care plans can include ways to assist staff in ensuring this occurs.  Residents and families were kept informed on Covid alert levels and visitor restrictions through email, phone and regular newsletters.  Updates/signage were displayed at reception.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includes surveillance procedures.  Infection events that meet the standard definitions are collected monthly and analysed for trends.  The infection control coordinator provides infection control data, trends, graphs and relevant information to the infection control committee, regional quality manager, clinical and facility meetings.  The facility is benchmarked against other Summerset facilities of similar size and benchmarking results are fed back to the infection control coordinator.  Infection control audits are completed, and corrective actions signed off.  Surveillance results are used to identify infection control activities and education needs within the facility.  There have been two influenza-like illness outbreaks with one in June 2021 and one in July 2021.  Influenza A and B and Covid swabs were negative.  Daily case logs and notification to HealthCERT and the DHB were sighted for both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The service had four (three hospital and one rest home) residents assessed as requiring the use of restraint (all bedrails) and no residents requiring an enabler.  The care plans provide the basis of factual information in assessing the risks of safety and the need for restraint.  Ongoing consultation with the resident and family/whānau are identified.  Staff receive training around restraint minimisation that includes annual competency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approval process and a job description for the restraint coordinator are in place.  The restraint coordinator role is delegated to a registered nurse.  They have been in this role for one year.  All staff are required to attend restraint minimisation training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Only registered nursing staff can assess the need for restraint.  Restraint assessments are based on information in the resident’s care plan, discussions with the resident and family and observations by staff.  The restraint assessment tool meets the requirements of the standard.  All four residents’ files where restraint was being used were reviewed.  Each file included a restraint assessment and consent form that was signed by the resident’s family.  Restraint use is linked to the resident’s care plan and is regularly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This register identifies the residents that are using a restraint, and the type(s) of restraint used.  The restraint assessment identified that restraint is being used only as a last resort.  The restraint assessment and ongoing evaluation of restraint use includes reviewing the frequency of monitoring residents while on restraint.  Monitoring forms are completed when the restraint is put on and when it is taken off and indicate monitoring at the frequency described in each resident’s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use is reviewed monthly during restraint meetings and three-monthly by the restraint coordinator.  The review process includes discussing whether continued use of restraint is indicated.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programme, including reviewing policies and procedures and staff education, is evaluated annually by the Summerset head office.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3"/>
        <w:gridCol w:w="1280"/>
        <w:gridCol w:w="4955"/>
        <w:gridCol w:w="3024"/>
        <w:gridCol w:w="21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monitoring forms available which were in use on the day of audit to monitor resident’s progress against resident goals, however there was no interventions/monitoring in place for two rest home residents, one hospital resident and one hospital respite resident as documented in the care plans.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1)  There was no food and fluid monitoring in place (as per care plan) for one rest home resident with unintentional weight loss.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2)  Unintentional weight loss for another rest home resident had not been identified and there was no monitoring in place. </w:t>
            </w:r>
          </w:p>
          <w:p w:rsidR="00EB7645" w:rsidRPr="00BE00C7" w:rsidP="00BE00C7">
            <w:pPr>
              <w:pStyle w:val="OutcomeDescription"/>
              <w:spacing w:before="120" w:after="120"/>
              <w:rPr>
                <w:rFonts w:cs="Arial"/>
                <w:b w:val="0"/>
                <w:lang w:eastAsia="en-NZ"/>
              </w:rPr>
            </w:pPr>
            <w:r w:rsidRPr="00BE00C7">
              <w:rPr>
                <w:rFonts w:cs="Arial"/>
                <w:b w:val="0"/>
                <w:lang w:eastAsia="en-NZ"/>
              </w:rPr>
              <w:t>3)  There was no turning chart in place (as per care plan) for a hospital respite resident post fracture neck of femur.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4)  The behaviour management plan did not describe the behaviours exhibited, triggers, de-escalation/distraction techniques including activities as described in the behaviour chart entries.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1,2 and 3) Ensure monitoring charts are implemented as documented in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4)  Ensure behaviour management plans include behaviour type, triggers and de-escalation/redirection including activities.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Mountain View</w:t>
    </w:r>
    <w:bookmarkEnd w:id="58"/>
    <w:r>
      <w:rPr>
        <w:rFonts w:cs="Arial"/>
        <w:sz w:val="16"/>
        <w:szCs w:val="20"/>
      </w:rPr>
      <w:tab/>
      <w:t xml:space="preserve">Date of Audit: </w:t>
    </w:r>
    <w:bookmarkStart w:id="59" w:name="AuditStartDate1"/>
    <w:r>
      <w:rPr>
        <w:rFonts w:cs="Arial"/>
        <w:sz w:val="16"/>
        <w:szCs w:val="20"/>
      </w:rPr>
      <w:t>16 September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