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Stillwater Gardens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Stillwater Gardens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September 2021</w:t>
      </w:r>
      <w:bookmarkEnd w:id="7"/>
      <w:r w:rsidRPr="009418D4">
        <w:rPr>
          <w:rFonts w:cs="Arial"/>
        </w:rPr>
        <w:tab/>
        <w:t xml:space="preserve">End date: </w:t>
      </w:r>
      <w:bookmarkStart w:id="8" w:name="AuditEndDate"/>
      <w:r w:rsidR="00A4268A">
        <w:rPr>
          <w:rFonts w:cs="Arial"/>
        </w:rPr>
        <w:t>24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Stillwater Gardens Lifecare (Stillwater) is operated by Heritage Lifecare Limited and certified to provide rest home care, hospital level care (including long-term support for chronic health conditions), respite, dementia care, and short-term day care for up to 69 residents. The service is also certified to provide disability support services for residential long-term care residents under a Ministry of Health (MoH) contract.</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and MoH. The audit process included review of policies and procedures, review of residents’ and staff files, observations, and interviews with residents, family/whānau members, managers, staff, contracted allied health providers and a general practitioner.</w:t>
      </w:r>
    </w:p>
    <w:p w:rsidRPr="00A4268A">
      <w:pPr>
        <w:spacing w:before="240" w:line="276" w:lineRule="auto"/>
        <w:rPr>
          <w:rFonts w:eastAsia="Calibri"/>
        </w:rPr>
      </w:pPr>
      <w:r w:rsidRPr="00A4268A">
        <w:rPr>
          <w:rFonts w:eastAsia="Calibri"/>
        </w:rPr>
        <w:t>This audit has identified areas requiring improvement relating to corrective action planning, adverse event reporting, care planning, service delivery intervention, and activity care planning and delivery. The areas related to care planning and service delivery interventions identified at the previous audit as requiring improvement were again identified in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families/whānau are provided with information about the Health and Disability Commissioner’s Code of Health and Disability Services Consumers’ Rights (the Code) and the Nationwide Health and Disability Advocacy service. The information is brought to the attention of prospective residents prior to their entry into the facility and is available within the facility after admission. There are opportunities for residents and their families/whānau to discuss the Code on admission and as required. Open communication between staff, residents and families/whānau is promoted to some extent, though some dissatisfaction with communication from management was expressed by some of the residents and family members interviewed.</w:t>
      </w:r>
    </w:p>
    <w:p w:rsidRPr="00A4268A">
      <w:pPr>
        <w:spacing w:before="240" w:line="276" w:lineRule="auto"/>
        <w:rPr>
          <w:rFonts w:eastAsia="Calibri"/>
        </w:rPr>
      </w:pPr>
      <w:r w:rsidRPr="00A4268A">
        <w:rPr>
          <w:rFonts w:eastAsia="Calibri"/>
        </w:rPr>
        <w:t>The rights of residents and/or their family/whānau to make a complaint is understood, respected, and upheld. The Care Home and Village Manager is responsible for the management of complaints with support from the Heritage Lifecare support office. Concerns and complaints are documented, addressed, and resolved promptly. There is a register for complaints that is shared with the support office, and this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Heritage Lifecare is the overarching governing body responsible for the services provided at Stillwater. Business, quality, and risk management plans relevant to Stillwater are in place. The business plan included the scope, direction, goals, and values of the organisation.</w:t>
      </w:r>
    </w:p>
    <w:p w:rsidRPr="00A4268A">
      <w:pPr>
        <w:spacing w:before="240" w:line="276" w:lineRule="auto"/>
        <w:rPr>
          <w:rFonts w:eastAsia="Calibri"/>
        </w:rPr>
      </w:pPr>
      <w:r w:rsidRPr="00A4268A">
        <w:rPr>
          <w:rFonts w:eastAsia="Calibri"/>
        </w:rPr>
        <w:t>Service monitoring to the Heritage Lifecare support office is regular and effective allowing Stillwater to benchmark against other Heritage Lifecare facilities. Adverse events, including incidents, accidents and hazards are documented with corrective actions implemented. Appropriate statutory and regulatory reporting was evidenced. Policies and procedures support service delivery and were current and reviewed regularly.</w:t>
      </w:r>
    </w:p>
    <w:p w:rsidRPr="00A4268A">
      <w:pPr>
        <w:spacing w:before="240" w:line="276" w:lineRule="auto"/>
        <w:rPr>
          <w:rFonts w:eastAsia="Calibri"/>
        </w:rPr>
      </w:pPr>
      <w:r w:rsidRPr="00A4268A">
        <w:rPr>
          <w:rFonts w:eastAsia="Calibri"/>
        </w:rPr>
        <w:t>The quality and risk management system supports the provision of clinical care and includes collection of quality improvement data. The system identifies corrective action arising from internal audits. Quality and risk trends are identified, and staff reported that they had input into quality improvement activities.</w:t>
      </w:r>
    </w:p>
    <w:p w:rsidRPr="00A4268A">
      <w:pPr>
        <w:spacing w:before="240" w:line="276" w:lineRule="auto"/>
        <w:rPr>
          <w:rFonts w:eastAsia="Calibri"/>
        </w:rPr>
      </w:pPr>
      <w:r w:rsidRPr="00A4268A">
        <w:rPr>
          <w:rFonts w:eastAsia="Calibri"/>
        </w:rPr>
        <w:t>The service is managed by the Home Care and Village Manager who is experienced and suitably qualified. The manager is supported in the role by a clinical services manager who is responsible for the oversight of clinical services provision in the facility.</w:t>
      </w:r>
    </w:p>
    <w:p w:rsidRPr="00A4268A">
      <w:pPr>
        <w:spacing w:before="240" w:line="276" w:lineRule="auto"/>
        <w:rPr>
          <w:rFonts w:eastAsia="Calibri"/>
        </w:rPr>
      </w:pPr>
      <w:r w:rsidRPr="00A4268A">
        <w:rPr>
          <w:rFonts w:eastAsia="Calibri"/>
        </w:rPr>
        <w:t>Staffing levels are adequate and meet contractual requirements across the service; however, a number of the registered nurses lack experience in the aged-care sector. Staff spoke positively about the service and the support they receive from each other and the management team. Registered nurses (RNs) are on duty 24 hours a day, seven days a week. They are supported by allied health staff. On-call support arrangements are in place for the RNs.</w:t>
      </w:r>
    </w:p>
    <w:p w:rsidRPr="00A4268A">
      <w:pPr>
        <w:spacing w:before="240" w:line="276" w:lineRule="auto"/>
        <w:rPr>
          <w:rFonts w:eastAsia="Calibri"/>
        </w:rPr>
      </w:pPr>
      <w:r w:rsidRPr="00A4268A">
        <w:rPr>
          <w:rFonts w:eastAsia="Calibri"/>
        </w:rPr>
        <w:t>Human resource policies were current and implemented. The appointment, orientation and management of staff is based on current good practice. There is a systematic approach to identify and deliver ongoing training to support safe service delivery and individual performance reviews are carried out.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needs are assessed by the multidisciplinary team on admission within the required timeframes. Shift handovers and communication sheets guide continuity of care.</w:t>
      </w:r>
    </w:p>
    <w:p w:rsidRPr="00A4268A" w:rsidP="00621629">
      <w:pPr>
        <w:spacing w:before="240" w:line="276" w:lineRule="auto"/>
        <w:rPr>
          <w:rFonts w:eastAsia="Calibri"/>
        </w:rPr>
      </w:pPr>
      <w:r w:rsidRPr="00A4268A">
        <w:rPr>
          <w:rFonts w:eastAsia="Calibri"/>
        </w:rPr>
        <w:t>Care plans are based on a range of information. Short term care plans are developed to manage any new problems that might arise. Residents and families interviewed reported being kept informed.</w:t>
      </w:r>
    </w:p>
    <w:p w:rsidRPr="00A4268A" w:rsidP="00621629">
      <w:pPr>
        <w:spacing w:before="240" w:line="276" w:lineRule="auto"/>
        <w:rPr>
          <w:rFonts w:eastAsia="Calibri"/>
        </w:rPr>
      </w:pPr>
      <w:r w:rsidRPr="00A4268A">
        <w:rPr>
          <w:rFonts w:eastAsia="Calibri"/>
        </w:rPr>
        <w:t>The planned activity programme is developed by two diversional therapists and provides residents with a range of activities. A facility van is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RNs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and emergency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A comprehensive assessment, approval and monitoring process with regular reviews is in place. Staff demonstrated a sound knowledge and understanding of the restraint and enabler processes and education on restraint minimisation and safe practice is part of the education programme. There were no residents using restraints or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complaints/concerns policy and forms are in line with the Health and Disability Commissioner’s (HDC) Code of Health and Disability Services Consumers’ Rights (the Code) and include timeframes for responding to a complaint. Feedback forms for compliments, concerns and complaints were observed to be available in the facility alongside advocacy information, and residents and their family/whānau are given information on complaints and advocacy in an information folder prior to admission.</w:t>
            </w:r>
          </w:p>
          <w:p w:rsidR="00EB7645" w:rsidRPr="00BE00C7" w:rsidP="00BE00C7">
            <w:pPr>
              <w:pStyle w:val="OutcomeDescription"/>
              <w:spacing w:before="120" w:after="120"/>
              <w:rPr>
                <w:rFonts w:cs="Arial"/>
                <w:b w:val="0"/>
                <w:lang w:eastAsia="en-NZ"/>
              </w:rPr>
            </w:pPr>
            <w:r w:rsidRPr="00BE00C7">
              <w:rPr>
                <w:rFonts w:cs="Arial"/>
                <w:b w:val="0"/>
                <w:lang w:eastAsia="en-NZ"/>
              </w:rPr>
              <w:t>Most of the residents and family/whānau interviewed reported that, while they were not sure where complaints forms were kept, they felt confident that they would know how to make a complaint should they need to. Two residents and four family/whanau members interviewed said that they were unsure how seriously their complaints were being taken (refer 1.2.3), but the complaints register showed that any complaints that had been received from complainants had been documented and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12 complaints have been received over the past year. Actions taken, through to an agreed resolution, are documented and completed within the timeframes in most cases. One complainant has taken their complaint to the Office of the Health and Disability Commissioner (HDC). While this complaint remains open, the response from Stillwater has been sent to the Commissioner’s office. For the remainder of the complaints, action plans show any required follow up, any improvements that have been made as the result of the complaint and outlined the escalation pathways open to complainants. A previous complaint to the Health and Disability Commissioner from 2019 has been closed with no corrective action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(CHVM) is responsible for complaints management and follow up with the support of the Heritage Lifecare support office. All staff interviewed confirmed a sound understanding of the complaint process and what actions are required. There have been no complaints received from any other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and ensure that there is disclosure of any adverse event where a resident has suffered unintended harm while receiving care. Documentation demonstrated that adverse events and changes in health status are appropriately reported to family/whānau. Staff understood the principles of open disclosure.</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residents’ meetings to inform residents of facility issues, events and activities. The schedule has been mostly adhered to but has been affected by gastrointestinal outbreaks and Covid-19 lockdowns in the facility over the last year. Meetings provide attendees with an opportunity to make suggestions, provide feedback; and raise and discuss any issues. Minutes sighted confirmed that residents are given the opportunity to raise any issues and have them addressed. Families/whānau are welcome to attend.</w:t>
            </w:r>
          </w:p>
          <w:p w:rsidR="00EB7645" w:rsidRPr="00BE00C7" w:rsidP="00BE00C7">
            <w:pPr>
              <w:pStyle w:val="OutcomeDescription"/>
              <w:spacing w:before="120" w:after="120"/>
              <w:rPr>
                <w:rFonts w:cs="Arial"/>
                <w:b w:val="0"/>
                <w:lang w:eastAsia="en-NZ"/>
              </w:rPr>
            </w:pPr>
            <w:r w:rsidRPr="00BE00C7">
              <w:rPr>
                <w:rFonts w:cs="Arial"/>
                <w:b w:val="0"/>
                <w:lang w:eastAsia="en-NZ"/>
              </w:rPr>
              <w:t>Communication between staff and residents and their families/whānau was observed to be positive throughout the audit, however, resident and family interviews (refer 1.2.3) reported that they feel that sometimes the management is not listening to their concerns.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were available as required through the Nelson Marlborough District Health Board (NMDHB). There were no residents who required interpreter assistance on the days of the audit and the manager reported that interpreter services are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Stillwater is part of the Heritage Lifecare Group. The company’s executive management team provides support to the facility and have access to Stillwater’s business and quality information. The business plan is reviewed annually and outlines the purpose, values, scope, direction, and goals of the organisation. The documents described annual and longer-term objectives and associated operational plans. A sample of monthly reports to the Heritage Lifecare support office showed adequate information to monitor performance is reported including financial performance, emerging risks and issues, staffing, and staff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CHVM who has 38 years in the industry, has a relevant qualification in management, and has been in the role for 15 months. The clinical service manager (CSM) has recently been appointed (eight months ago) but has worked as a registered nurse for 12 years and has a current practising certificate. The CSM has a Bachelor of Nursing and is currently studying for a Master of Nursing specialising in Gerontology. Responsibilities and accountabilities are defined in job descriptions and individual employment agreements. The CHVM and CSM confirmed knowledge of the sector, regulatory, and reporting requirements and that they maintain currency through engagement with other Heritage Lifecare facilities at management and clinical management meetings and through the 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aged-related residential care (ARRC), long-term chronic health conditions (under 65), dementia care (D3), respite, and day care services. A contract via the Ministry of Health (MoH) is also held for disability support services for residential care – non-aged (under 65). On the day of audit there were 67 residents; 51 residents were receiving services under the ARRC contract (hospital and rest home level care), 15 under the dementia care contract, and one under the MoH disability support service contract. One of the residents in the secure dementia unit is assessed as requiring hospital level care and has a dispensation from the MoH (sighted) to allow him to remain as a resident in the stage 3 dementia care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adverse events, monitoring of outcomes of clinical incidents, including infections and wounds, complaints, audit activities, a regular resident and family/whānau satisfaction survey, and a staff satisfaction survey. Benchmarking against other Heritage Lifecare facilities takes place and results from the benchmarking are generally at or above expected levels.</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policies and procedures to support service delivery. They are reviewed in a timely manner and were current. Policies are linked to the Health and Disability Sector Standards, current applicable legislation, are evidence based and include reference to the interRAI Long Term Care Facility (LTCF) assessment tool and process. The document control system ensures a systematic and regular review process, referencing of relevant sources, and approval.</w:t>
            </w:r>
          </w:p>
          <w:p w:rsidR="00EB7645" w:rsidRPr="00BE00C7" w:rsidP="00BE00C7">
            <w:pPr>
              <w:pStyle w:val="OutcomeDescription"/>
              <w:spacing w:before="120" w:after="120"/>
              <w:rPr>
                <w:rFonts w:cs="Arial"/>
                <w:b w:val="0"/>
                <w:lang w:eastAsia="en-NZ"/>
              </w:rPr>
            </w:pPr>
            <w:r w:rsidRPr="00BE00C7">
              <w:rPr>
                <w:rFonts w:cs="Arial"/>
                <w:b w:val="0"/>
                <w:lang w:eastAsia="en-NZ"/>
              </w:rPr>
              <w:t>The manager is familiar with the Health and Safety at Work Act (2015) and has implemented its requirements.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of quality indicators and that related information is reported and discussed at the health and safety, registered nurse (RN), staff, and resident/whānau meetings. Staff interviewed reported their involvement in quality and risk management activities through audit activities and reporting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completed as scheduled. Corrective actions are identified but (except in one instance), there was no documented action plan to address deficits identified as corrective actions, and no ‘sign-off’ to indicate that the deficit had been resolved. The manager of the service was not aware that the audit requirements were not being fully completed and the CSM who was primarily tasked with doing the audits was unaware that they were incomplete and had not addressed the issues identified. This will need to be addressed by the service to ensure internal audits are relevant and used as a learning/correction tool to check on and improve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family/whānau satisfaction surveys are completed annually. The most recent survey undertaken in 2021 showed that residents (24) and their families/whānau (10) who responded were positive about the service. However, some comments from residents and family/whānau interviewed on the day of audit did not correlate with this result. Two of five residents and four of eight family/whānau members interviewed expressed dissatisfaction with the service (all from the hospital level care area of the facility). Concerns related to communication around the continuum of care and lack of activity opportunities for residents; these were supported through examination of information of residents’ files, observation and on interview (refer criteria 1.3.5.2, 1.3.6.1, and 1.3.7.1).</w:t>
            </w:r>
          </w:p>
          <w:p w:rsidR="00EB7645" w:rsidRPr="00BE00C7" w:rsidP="00BE00C7">
            <w:pPr>
              <w:pStyle w:val="OutcomeDescription"/>
              <w:spacing w:before="120" w:after="120"/>
              <w:rPr>
                <w:rFonts w:cs="Arial"/>
                <w:b w:val="0"/>
                <w:lang w:eastAsia="en-NZ"/>
              </w:rPr>
            </w:pPr>
            <w:r w:rsidRPr="00BE00C7">
              <w:rPr>
                <w:rFonts w:cs="Arial"/>
                <w:b w:val="0"/>
                <w:lang w:eastAsia="en-NZ"/>
              </w:rPr>
              <w:t>Staff satisfaction surveys are conducted every two years. The last survey was conducted in 2019, it was sent to 90 staff and generated 31 responses (34% response rate). The results of this survey showed that staff are generally positive about the service especially in the areas of engagement, leadership, and organisational change with some negativity in the areas of engagement (even split between positive and negative) and organisational values. This was supported by the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Over the past year, there has been an average of 11 incidents per month, primarily falls, falls with injury (e.g., fracture, skin tear), absconding from the facility, and incidents resulting from resident behaviour. A sample of six incidents reviewed (2 falls, 1 fall with a fracture, 2 from residents exhibiting challenging behaviour, and one related to a resident absconding from the facility) showed that actions in respect of these were fully completed. Incidents were investigated and openly disclosed to family/whānau as appropriate, action plans were developed, and followed-up in a timely manner. Where appropriate these were notified to relevant authorities. Adverse event information gathered is regularly shared at facility meetings with incidents collated, trends analysed, and benchmarking of data across other Heritage Lifecare facilities.</w:t>
            </w:r>
          </w:p>
          <w:p w:rsidR="00EB7645" w:rsidRPr="00BE00C7" w:rsidP="00BE00C7">
            <w:pPr>
              <w:pStyle w:val="OutcomeDescription"/>
              <w:spacing w:before="120" w:after="120"/>
              <w:rPr>
                <w:rFonts w:cs="Arial"/>
                <w:b w:val="0"/>
                <w:lang w:eastAsia="en-NZ"/>
              </w:rPr>
            </w:pPr>
            <w:r w:rsidRPr="00BE00C7">
              <w:rPr>
                <w:rFonts w:cs="Arial"/>
                <w:b w:val="0"/>
                <w:lang w:eastAsia="en-NZ"/>
              </w:rPr>
              <w:t>The CHVM described essential notification reporting requirements, including for pressure injuries, however a section 31 notification of the stage three pressure injury which had been present prior to the audit was submitted to the Ministry of Health (MOH) on the day of audit. There have been 36 other notifications of significant events reported to the Ministry of Health in 2021. These relate to falls with fracture (14), a fall with head injury, resident behaviour (12), resident absconding (six), an alleged sexual result (identified as delirium), and gastroenteritis outbreak (two </w:t>
            </w:r>
            <w:r w:rsidRPr="00BE00C7">
              <w:rPr>
                <w:rFonts w:cs="Arial"/>
                <w:b w:val="0"/>
                <w:lang w:eastAsia="en-NZ"/>
              </w:rPr>
              <w:noBreakHyphen/>
              <w:t xml:space="preserve"> also notified to public health). All have been acknowledged by the MoH.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implemented and records are maintained. The skill and knowledge requirements for staff are documented 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Eight staff records reviewed (two RNs, three caregivers, one diversional therapist, one cleaner, and one laundry staff member) showed documentation of completed orientation and a performance review after a three-month period (except in two instances, one due to ongoing sick leave over the period and the other as they are a recent employee). Staff performance appraisals are carried out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such as manual handling, infection control, emergency management and restraint minimisation and safe practice. Care staff have access to a New Zealand Qualification Authority education programme to meet the requirements of the provider’s agreement with the DHB. All staff working in the dementia care area have completed the required education for the service. The CSM is the internal assessor for the education programme. Records reviewed demonstrated completion of the required education/training for the various staff roles including interRAI assessments, medication competency, first aid, and syringe driver competency.</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across the facility who are maintaining their annual competency requirements; three of whom undertake interRAI assessments. Orientation for new RNs has been completed, but as noted in 1.2.8, a number of these RNs are new to the industry and inexperienced in the aged-care sector. They are being supervised and mentored by the CSM but, while she is an experienced RN in the aged-care sector, she is new to the supervisory role (8 months) and to management. One of the general practitioners (GPs) interviewed made mention of the number of new RNs at Stillwater and expressed concern around RN assessment skills when she is contacted by them for acute concerns. RN inexperience may be a factor in the deficits identified in care planning and care interventions during this audit (refer 1.3.5.2 and 1.3.6.1) but, given the nationwide shortage of experienced RNs in New Zealand currently, it is difficult to see how this can be rectified in the short term.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and rosters reviewed showed that staff are replaced to cover unplanned absences. Residents and family/whānau interviewed supported this. Observations and review of a four-week roster cycle confirmed sufficient staff cover has been provided, with staff replaced in any unplanned absence. RN availability has been problematic due to attrition and movement within the sector (e.g., to the DHB). Stillwater has been able to maintain its rostered RN hours through the use of the CSM (who is an experienced RN) working ‘on the floor’ while new hires are orientated. The attrition has meant that there are fewer experienced RNs in the facility which could account for some of the issues noted in residents’ documentation (refer 1.2.7, 1.3.5.2 and 1.3.6.1).</w:t>
            </w:r>
          </w:p>
          <w:p w:rsidR="00EB7645" w:rsidRPr="00BE00C7" w:rsidP="00BE00C7">
            <w:pPr>
              <w:pStyle w:val="OutcomeDescription"/>
              <w:spacing w:before="120" w:after="120"/>
              <w:rPr>
                <w:rFonts w:cs="Arial"/>
                <w:b w:val="0"/>
                <w:lang w:eastAsia="en-NZ"/>
              </w:rPr>
            </w:pPr>
            <w:r w:rsidRPr="00BE00C7">
              <w:rPr>
                <w:rFonts w:cs="Arial"/>
                <w:b w:val="0"/>
                <w:lang w:eastAsia="en-NZ"/>
              </w:rPr>
              <w:t>The rosters reviewed showed that there are two RNs on a morning shift supported by 10 caregivers with two RNs and nine caregivers on the afternoon shift. Night shift is covered by one RN and four caregivers. The HCVM and CSM work 40 hours per week Monday to Friday. At least one staff member on duty has a current first aid certificate and there is 24 hour a day, seven days a week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There are two diversional therapists (DT) who are employed to work across the facility, both are employed 40 hours per week, Monday to Friday. There are no DTs on site on the weekends unless a special event is planned. The roster sighted does not apportion DT time to specifically work in the dementia area and, given one of the DTs has been away for personal reasons between January to July this year and not replaced, the level of DT engagement in the facility and dementia unit has been lacking (refer criterion 1.3.7.1). Observation during the audit period allied to interviews with staff, residents, and their families/whānau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an RN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allow for the self-management of medications for residents who were competent and wished to do so, including policy and self-medication processes and electronic monitoring by staff. There were no residents who were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RN and CSM and recorded on an accident/incident form. The resident and/or the designated representative are advised. There is a process for comprehensive analysis of any medication errors, and compliance with this process was verified.</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reviewed by a qualified dietitian 15 January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and a verification audit was undertaken 22 July 2021. No corrective actions were identified, and the plan was verified for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in residents’ meeting minutes. Areas of dissatisfaction were generally responded to, though in one instance a resident with weight loss had no management strategies documented (refer 1.3.5.2).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always have access to food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nine care plans reviewed during the audit. Three of the nine files reviewed, reflected fully the support needs of the residents, and the outcomes of the integrated assessment process and other relevant clinical information. In particular, the needs identified by the interRAI assessments were reflected in the care plans reviewed. Six of the nine files did not reflect fully the support needs of the residents. These care plans did not always evidence service integration with progress notes, activities note, medical and allied health professional’s notations. This was a previous corrective action and ongoing attention is required.</w:t>
            </w:r>
          </w:p>
          <w:p w:rsidR="00EB7645" w:rsidRPr="00BE00C7" w:rsidP="00BE00C7">
            <w:pPr>
              <w:pStyle w:val="OutcomeDescription"/>
              <w:spacing w:before="120" w:after="120"/>
              <w:rPr>
                <w:rFonts w:cs="Arial"/>
                <w:b w:val="0"/>
                <w:lang w:eastAsia="en-NZ"/>
              </w:rPr>
            </w:pPr>
            <w:r w:rsidRPr="00BE00C7">
              <w:rPr>
                <w:rFonts w:cs="Arial"/>
                <w:b w:val="0"/>
                <w:lang w:eastAsia="en-NZ"/>
              </w:rPr>
              <w:t>Any change in care required was documented in progress notes and verbally passed on to relevant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not always consistent with their needs, goals, and the plan of care. The attention to meeting a diverse range of resident’s individualised needs was not evident in all areas of service provision. This was a previous corrective action and requires ongoing attention. The GP interviewed, verified that medical input is sought in a timely manner and that medical orders are followed. Care staff confirmed that care was provided as directed by the RN.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Stillwater verified it employs two diversional therapists (DTs) to provide the activities for residents in the hospital rest home and the secure unit. Interviews with the DTs identified recent gastric outbreaks and lockdowns had impacted on van outings and activities being offered at Stillwater. Interviews evidenced there was only one DT from January to July providing activities in all care areas at Stillwater. In July a second DT was employed; however, one was then absent for six weeks over August. One member of the activities team, on the two days of audit, was monitoring visitor entry to the facility, due to Covid-19 restrictions. On the second day the second DT was absent.</w:t>
              <w:br/>
              <w:t>During interview, the therapists said activities were generally provided in the rest home lounge and staff brought residents from the three care areas to participate.</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‘bingo’, bowls, card games, church services, singing visiting entertainers, quiz sessions and daily news updates.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indicated residents’ input is sought and responded to. Resident and family satisfaction surveys demonstrated satisfaction with activities; however, on the days of audit, observation, resident, staff, and family interviews referred to minimal activities being offered at Stillwater. The residents in the secure unit had no activities plan in place that identified residents’ twenty-four-hour needs. This is an area requiring attention. Rest home residents confirmed when activities are offered,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is expected to respond by initiating changes to the plan of care, however in six of the nine residents’ care plans reviewed, changes were not always fully described or were not consistent with the residents’ needs (refer criteria 1.3.5.2 and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when in place, were consistently reviewed for infections and progress evaluated as clinically indicated and according to the degree of risk noted during the assessment process.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interviewed provided some examples of involvement in evaluation of progress and any resulting changes, though one family/whanau member interviewed expressed concern about a breakdown in communication regarding pain and pain management for one resident (refer Standard 1.3.3).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publicly displayed, issued on 9 August 2021.</w:t>
            </w:r>
          </w:p>
          <w:p w:rsidR="00EB7645" w:rsidRPr="00BE00C7" w:rsidP="00BE00C7">
            <w:pPr>
              <w:pStyle w:val="OutcomeDescription"/>
              <w:spacing w:before="120" w:after="120"/>
              <w:rPr>
                <w:rFonts w:cs="Arial"/>
                <w:b w:val="0"/>
                <w:lang w:eastAsia="en-NZ"/>
              </w:rPr>
            </w:pPr>
            <w:r w:rsidRPr="00BE00C7">
              <w:rPr>
                <w:rFonts w:cs="Arial"/>
                <w:b w:val="0"/>
                <w:lang w:eastAsia="en-NZ"/>
              </w:rPr>
              <w:t>There are appropriate systems are in place to ensure the residents’ physical environment and facilities are fit for their purpose and maintained. The environment was hazard free and resident safety is promoted.</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and calibration of biomedical equipment was current as confirmed in documentation reviewed, interviews with maintenance personnel, and observation of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had sufficient equipment to safely deliver care to residents. Hot water temperatures are monitored monthly with variances addressed by registered external contactors (gas system) if this is required. Documentation showed there had been no deviance requiring intervention.</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The dementia wing has an enclosed outside area available for use to maintain resident safety. The facility has sufficient space for residents to mobilise using mobility aids and areas that allow for residents and their family/whānau to have privacy.</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know the processes they should follow if any repairs or maintenance are required and that requests are actioned. Residents and family/whānau members interviewed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The CSM is the infection control nurse (ICN) and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with results that are generally at or above accepted benchmarking levels.</w:t>
            </w:r>
          </w:p>
          <w:p w:rsidR="00EB7645" w:rsidRPr="00BE00C7" w:rsidP="00BE00C7">
            <w:pPr>
              <w:pStyle w:val="OutcomeDescription"/>
              <w:spacing w:before="120" w:after="120"/>
              <w:rPr>
                <w:rFonts w:cs="Arial"/>
                <w:b w:val="0"/>
                <w:lang w:eastAsia="en-NZ"/>
              </w:rPr>
            </w:pPr>
            <w:r w:rsidRPr="00BE00C7">
              <w:rPr>
                <w:rFonts w:cs="Arial"/>
                <w:b w:val="0"/>
                <w:lang w:eastAsia="en-NZ"/>
              </w:rPr>
              <w:t>Stillwater had a gastroenteritis outbreak in June 2021, affecting eight residents and two staff. In July 2021 it had a Norovirus outbreak that affected 29 residents and one staff. Public Health and the NMDHB were informed of both outbreaks. The facility went into lockdown during both events. An analysis has resulted in increased hand washing audits and training.</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Stillwater Gardens has processes in place to manage the risks imposed by Covid-19. With the present level 2 restrictions, Stillwater is limiting visiting hours and temperature checking all visitors and staff on entry to the facility. Masks are being worn by all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A Covid-19 management plan and a pandemic plan is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CSM is the restraint coordinator and provides support and oversight for enabler and restraint management in the facility demonstrating a sound understanding of the organisation’s policies, procedures and practice, restraint management and the restraint coordinator’s role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Restraints are used only when clinically indicated and justified and de-escalation strategies have been ineffective. Enablers are voluntary and the least restrictive option to maintain independence and safety. On the day of audit, there were no residents using restraints or enablers.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showed that they understood de-escalation strategies and the difference between restraints and enablers. Restraint has not been used at the facility for at least five years but information on restraint minimisation and safe practice is included in orientation and in the ongoing education/training programme. This was confirmed through training records and through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601"/>
        <w:gridCol w:w="1701"/>
        <w:gridCol w:w="2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identified in relation to recorded concerns and complaints and incidents, accidents, and hazards were well managed.</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schedule which is adhered to. Nine internal audits from 2021 were reviewed. These related to the promotion of continence (six corrective actions identified), pain management (one corrective action), falls management (four corrective actions), resident transfers and handling (one corrective action), infection control (100% compliance), personal protective equipment and outbreak toolkit (100%compliance), hand hygiene (100% compliance), environmental (two corrective actions), and hot water monitoring (100% compliance). In five of the audits, corrective action(s) were identified but, except in one instance (resident transfer and handling), there was no documented action plan to address deficits identified as corrective actions, and no ‘sign-off’ to indicate that the deficit had been resolved. This is of concern given four of the audits had 12 corrective actions identified which refer directly to resident care. The audit identified deficits in resident care (refer 1.3.5.2 and 1.3.6.1), and resident and family interviews outlined concerns that had not been picked up in the resident and family/whānau satisfaction survey.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internal audit forms had a documented action plan to address deficits identified as corrective actions, and no ‘sign-off’ to indicate that the deficits had been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 forms are fully completed and show the action plan to address deficits identified as corrective actions, and these are signed off as completed when the issue has been resolved.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Pressure injuries at stage three and above are required to be reported to the Ministry of Health. The resident was admitted to the facility from the hospital in 2020 with a stage 3 pressure injury which this was originally improving. The resident subsequently became very frail, and the injury started deteriorating; it became a stage 3 injury by August 2021. The injury was not reported to the Ministry of Health by the facility until the issue was identified during the audit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Stage 3 pressure injuries must be reported to the Ministry of Health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Report all stage 3 pressure injuries to the Ministry of Health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nine residents’ files reviewed did not document fully the support the resident required to meet their needs. This specifically related to the nursing management strategies to manage residents’ actual and potential medical conditions and changing needs. Three of the files had adequately documented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A resident’s behaviour management plan was implemented in April 2021 and has not been updated since, despite frequent episodes of aggression recorded in the behaviour management plan. This resident has an MOH dispensation in place to remain in the present care level; however, ongoing evidence was not sighted of a review of this placement. The resident’s relative interviewed expressed that excellent care is provided at Stillwater; however, made comment regarding the minimal activities being provided (refer criterion 1.3.7.1).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with long term medical conditions (e.g., congestive heart failure, seizures and weight loss) had no management strategies documented. The hospital level care resident reviewed in detail using tracer methodology (referred to in 1.3.3), prior to the audit, had no plan in place to manage the pain. Additional documentation identifying the cares the resident requires to provide effective palliative care and optimise comfort (e.g., mouth cares) are not documented, though were provided when suggested. </w:t>
            </w:r>
          </w:p>
          <w:p w:rsidR="00EB7645" w:rsidRPr="00BE00C7" w:rsidP="00BE00C7">
            <w:pPr>
              <w:pStyle w:val="OutcomeDescription"/>
              <w:spacing w:before="120" w:after="120"/>
              <w:rPr>
                <w:rFonts w:cs="Arial"/>
                <w:b w:val="0"/>
                <w:lang w:eastAsia="en-NZ"/>
              </w:rPr>
            </w:pPr>
            <w:r w:rsidRPr="00BE00C7">
              <w:rPr>
                <w:rFonts w:cs="Arial"/>
                <w:b w:val="0"/>
                <w:lang w:eastAsia="en-NZ"/>
              </w:rPr>
              <w:t>A resident on warfarin has no nursing strategies documented regarding managing the risk of anticoagulant therapy. Interviews with the RNs, confirmed the RNs are new to aged care and needed a high level of clinical guidance to ensure residents’ needs are met.</w:t>
            </w:r>
          </w:p>
          <w:p w:rsidR="00EB7645" w:rsidRPr="00BE00C7" w:rsidP="00BE00C7">
            <w:pPr>
              <w:pStyle w:val="OutcomeDescription"/>
              <w:spacing w:before="120" w:after="120"/>
              <w:rPr>
                <w:rFonts w:cs="Arial"/>
                <w:b w:val="0"/>
                <w:lang w:eastAsia="en-NZ"/>
              </w:rPr>
            </w:pPr>
            <w:r w:rsidRPr="00BE00C7">
              <w:rPr>
                <w:rFonts w:cs="Arial"/>
                <w:b w:val="0"/>
                <w:lang w:eastAsia="en-NZ"/>
              </w:rPr>
              <w:t>The assessment process had not alerted management to the deficits noted and they were unaware of the deficits until highlighted during the audit, The GP commented at interview on the lack of assessment skills of some of the nursing staff new to the facility (refer 1.3.3 and 1.2.7).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nine residents’ care plans reviewed, did not describe fully the care required to meet the residents’ desired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care plans describe fully the required support the resident requires to meet their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care plans described pressure injury management and a change in position regime. On the two days of audit this was observed not to occur. The residents were put in a comfy chair on wheels and remained in that chair, with no change in position or attention to personal needs all day. The repositioning chart on the day and previous days verified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audit, the resident reviewed via tracer methodology, had no effective pain management provided, or requested, to ensure the resident’s pain was managed effectively. </w:t>
            </w:r>
          </w:p>
          <w:p w:rsidR="00EB7645" w:rsidRPr="00BE00C7" w:rsidP="00BE00C7">
            <w:pPr>
              <w:pStyle w:val="OutcomeDescription"/>
              <w:spacing w:before="120" w:after="120"/>
              <w:rPr>
                <w:rFonts w:cs="Arial"/>
                <w:b w:val="0"/>
                <w:lang w:eastAsia="en-NZ"/>
              </w:rPr>
            </w:pPr>
            <w:r w:rsidRPr="00BE00C7">
              <w:rPr>
                <w:rFonts w:cs="Arial"/>
                <w:b w:val="0"/>
                <w:lang w:eastAsia="en-NZ"/>
              </w:rPr>
              <w:t>A resident who was noted to be losing weight, had no interventions being implemented by nursing staff to minimise weight loss.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four of eight family/whānau members and two of four residents, expressed dissatisfaction with some aspects of the care provided at Stillwater.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provided to some residents at Stillwater are not always consistent with meeting the residents’ assessed needs and desired outcomes. This, at times, is due to the care plan not documenting fully that care required (refer 1.3.5.2). Or, the care is documented, and not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care plans describe fully the support the resident requires to meet their assessed needs, and that the required care is provided.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not being provided on a regular basis at Stillwater to develop and maintain residents’ strengths skills and interests. There was only one DT from January 2021 to July 2021 providing activities in all three services areas at Stillwater. In July a second DT was employed, however one was then absent for six weeks over August. One member of the activities team, on the two days of audit, was monitoring visitor entry to the facility. One was on leave on day two. Resident, family, and staff interviews evidenced minimal activities occurring in the secure unit and the hospital. A news reading session was observed in the rest home, with six residents in attendance on both days of audit. A DT was present in the secure unit over lunch; however, no activities were observed to be offered in the hospital and secure unit during the one-and-a-half-day audit.</w:t>
            </w:r>
          </w:p>
          <w:p w:rsidR="00EB7645" w:rsidRPr="00BE00C7" w:rsidP="00BE00C7">
            <w:pPr>
              <w:pStyle w:val="OutcomeDescription"/>
              <w:spacing w:before="120" w:after="120"/>
              <w:rPr>
                <w:rFonts w:cs="Arial"/>
                <w:b w:val="0"/>
                <w:lang w:eastAsia="en-NZ"/>
              </w:rPr>
            </w:pPr>
            <w:r w:rsidRPr="00BE00C7">
              <w:rPr>
                <w:rFonts w:cs="Arial"/>
                <w:b w:val="0"/>
                <w:lang w:eastAsia="en-NZ"/>
              </w:rPr>
              <w:t>There is no twenty-four-hour activity plan in the secure unit that addresses the residents’ twenty-four-hour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however they are not provided on a regular basis, to develop and maintain residents’ skills, strengths, and interest.</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no twenty-four-hour activity plan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activities are planned and provided to develop and maintain residents’ strengths, skills, and interests. Provide evidence there is a designated person engaged in the secure unit who is skilled in the implementation and evaluation of diversional and recreational activities. Provide evidence that each resident in the secure unit has a twenty-four-hour activity plan that addresses their twenty-four-hour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Stillwater Gardens Lifecare</w:t>
    </w:r>
    <w:bookmarkEnd w:id="58"/>
    <w:r>
      <w:rPr>
        <w:rFonts w:cs="Arial"/>
        <w:sz w:val="16"/>
        <w:szCs w:val="20"/>
      </w:rPr>
      <w:tab/>
      <w:t xml:space="preserve">Date of Audit: </w:t>
    </w:r>
    <w:bookmarkStart w:id="59" w:name="AuditStartDate1"/>
    <w:r>
      <w:rPr>
        <w:rFonts w:cs="Arial"/>
        <w:sz w:val="16"/>
        <w:szCs w:val="20"/>
      </w:rPr>
      <w:t>23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