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West Otago Health Limited - Ribbonwood Country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West Otago Health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Ribbonwood Country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August 2021</w:t>
      </w:r>
      <w:bookmarkEnd w:id="7"/>
      <w:r w:rsidRPr="009418D4">
        <w:rPr>
          <w:rFonts w:cs="Arial"/>
        </w:rPr>
        <w:tab/>
        <w:t xml:space="preserve">End date: </w:t>
      </w:r>
      <w:bookmarkStart w:id="8" w:name="AuditEndDate"/>
      <w:r w:rsidR="00A4268A">
        <w:rPr>
          <w:rFonts w:cs="Arial"/>
        </w:rPr>
        <w:t>10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Ribbonwood Country Home is governed by a community trust board and is part of West Otago Health.  The service provides care for up to 14 residents at hospital (geriatric and medical) and rest home level care.  On the day of the audit there were 14 residents.</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GP and management.  </w:t>
      </w:r>
    </w:p>
    <w:p w:rsidRPr="00A4268A">
      <w:pPr>
        <w:spacing w:before="240" w:line="276" w:lineRule="auto"/>
        <w:rPr>
          <w:rFonts w:eastAsia="Calibri"/>
        </w:rPr>
      </w:pPr>
      <w:r w:rsidRPr="00A4268A">
        <w:rPr>
          <w:rFonts w:eastAsia="Calibri"/>
        </w:rPr>
        <w:t xml:space="preserve">There is a quality and risk management programme in place which has been implemented.  Residents, relatives and the GP spoke positively about the services provided at Ribbonwood Country Home.  </w:t>
      </w:r>
    </w:p>
    <w:p w:rsidRPr="00A4268A">
      <w:pPr>
        <w:spacing w:before="240" w:line="276" w:lineRule="auto"/>
        <w:rPr>
          <w:rFonts w:eastAsia="Calibri"/>
        </w:rPr>
      </w:pPr>
      <w:r w:rsidRPr="00A4268A">
        <w:rPr>
          <w:rFonts w:eastAsia="Calibri"/>
        </w:rPr>
        <w:t>The business manager and the team leader (both registered nurses) run the facility, they are supported by registered nurses, and long-standing caregivers.</w:t>
      </w:r>
    </w:p>
    <w:p w:rsidRPr="00A4268A">
      <w:pPr>
        <w:spacing w:before="240" w:line="276" w:lineRule="auto"/>
        <w:rPr>
          <w:rFonts w:eastAsia="Calibri"/>
        </w:rPr>
      </w:pPr>
      <w:r w:rsidRPr="00A4268A">
        <w:rPr>
          <w:rFonts w:eastAsia="Calibri"/>
        </w:rPr>
        <w:t xml:space="preserve">This surveillance audit identified shortfalls around care planning timeframes, interventions and monitoring.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rights of the resident and/or their family to make a complaint is understood, respected and upheld by the service.  A system for managing complaints is in place.  Relatives interviewed felt they were updated promptly of all adverse events.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Ribbonwood home has a documented quality and risk management system that supports the provision of clinical care and support.  A resident satisfaction survey has been completed in 2020.  There are regular resident/relative meetings.  Incidents are documented.  The service has in place an orientation programme that provides new staff with relevant information for safe work practice.  There is an in-service training programme and external training is supported.  The organisational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care plan documentation.  InterRAI assessments and care plans are completed and reviewed within required timeframes.  Planned activities are appropriate to the resident’s assessed needs and abilities.  Residents and relatives were satisfied with the activities programme.  The service uses an electronic medication management system.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Preventative and reactive maintenance occurs.  The facility is spacious and provides adequate space for residents to access all communal areas using mobility aids.  The external gardens are well maintained and accessible to all residents.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policies and procedures are comprehensive, and include definitions, processes and use of restraints and enablers.  At the time of the audit there were no residents requiring restraints and no residents using an enabler.  Staff training has been held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Ribbonwood home continues to implement their infection surveillance programme.  Infection control issues are discussed at both the infection control and quality/staff meetings.  The infection control programme is linked with the quality programme.  Covid-19 was well prepared for.  Policies, procedures and the pandemic plan have been updated to reflect Covid-19 guidelines.  Hand gels are placed around the facility.  Adequate supplies of personal protective equipment were sighted during the audit.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entrance to the facility and at the reception area of West Otago Health (which Ribbonwood is part of the building).  Information around the complaints process is provided on admission.  A record of all complaints, both verbal and written is maintained by the manager on the complaints register.  One complaint has been received since the last audit: in 2019.  Documentation and correspondence reflected evidence of responding to the complaints in a timely manner with appropriate follow-up actions taken.  The staff interviewed could describe directing the complainant to the most senior person on duty.  Residents and relatives advised that they are aware of the complaints procedure and how to access forms.  The relatives interviewed stated they feel comfortable discussing concerns with the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Three residents (one hospital and two rest home) interviewed stated that they were welcomed on entry and were given time and explanation about the services and procedures.  Both the manager and the team leader were available to residents and relatives and they promote an open-door policy.  The two relatives (one rest home, one hospital) interviewed advised that they are notified of incidents and when residents’ health status changes promptly.  The staff (the team leader, one registered nurse, three caregivers, one cook and the diversional therapist) interviewed, fluently described instances where relatives would be notified, incident reports reviewed, documented relative notifications.  Interpreter services are available if required.  During the Covid-19 lockdown period, a Facebook private page was set up.  Photos were uploaded to the page as a means for relatives to see what residents were doing during lockdown.  This page now has more than 300 followers and includes relatives from all over the world.  Relatives and residents interviewed felt the page had been a valuable addition to communication especially for relatives who are overseas.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Ribbonwood is community owned and provides care for up to 14 rest home and hospital (geriatric and medical) level care residents.  A trust board governs the service.  Board members are appointed by the community and include Māori and medical staff representation.  The board meet nine times a year and receives reports from the business manager (RN) on all aspects of service delivery at Ribbonwood.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14 residents - nine rest home (including one respite) and five hospital residents.  All residents were under the Age-Related Residential contract (ARRC).  All rooms at Ribbonwood are dual-purpose (rest home or hospital).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attached to the West Otago Health services which provides primary and community care.  A resident general practitioner (GP) provides medical care to the residents, and afterhours and on-call services are provided by the GP and PRIME trained registered nurses up until 10.30 pm.  Gore hospital provides after hours support between 10.30 pm and 7 am.  The service has access to a physiotherapist who works in the medical centre.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strategic plan and a business plan for 2021.  The business plan identifies the purpose, values and scope of the business.  The quality and risk management plan outlines the quality goals, which are reviewed at the combined staff quality meeting and bi-monthly management meeting.  The GP and the registered nurse team leader provide clinical oversight at Ribbonwood.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manager (RN) and team leader have completed at least eight hours of professional development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plan is in place which includes the values, mission and philosophy of the service.  Objectives for the year include celebrating Māori language week, and encouraging staff to learn te reo Māori, investing in staff through increasing education and training opportunities.  The manager reports progress to the board and attends the board meetings.  A range of quality data is collated including incidents and accidents, infections, complaints/compliments, which are discussed at the three-monthly staff meetings.  All current incidents and infections and interventions are discussed at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have occurred according to the schedule in 2021; there was a catch-up period in late 2020 to compete all internal audits for the year following the lockdown period.  Audit templates included corrective actions identified, which have been signed off as completed and are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are held, the 2021 survey is planned to be held later in the year.  The 2020 survey evidenced a high level of satisfaction around being involved in care planning, being fully informed, meals, activities, GP services and staff.  There were no areas for improvement identified.  </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accident/incident and infection reports provided and these were displayed in the staff room.  There is a hazard management, health and safety, and risk management programme in place.  There are facility goals around health and safety.  The health and safety coordinator (caregiver) was interviewed.  There is a designated health and safety committee who meet six-monthly, more often if there are urgent matters to discuss.  The hazard register is reviewed at each meeting.  The health and safety coordinator has completed external level one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intentional rounding, post falls reviews and individual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documents and analyses all incidents/accidents.  All incidents and near misses are documented on the electronic system by the registered nurses and data is included in the Board report.  The caregivers document in the progress notes.  Ten resident related incident/accident forms were reviewed.  Individual incident reports have been completed for each incident/accident, with immediate action noted and individual resident risks were documented as followed up by the registered nurse.  Neurological observations were documented for all unwitnessed falls or falls with a possible head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manager and team leader, confirmed an awareness of the requirement to notify relevant authorities in relation to essential notifications.  There have been section 31 notifications sent for a fire in 2020 and registered nurse shortages.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Five staff files were reviewed (the team leader, one registered nurse, and three caregivers).  All had relevant documentation relating to employment, and current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(sighted in files).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that is being implemented that exceeds eight hours annually and includes compulsory education required.  There is evidence in the registered nurse files of attendance at the DHB external training.  Interviews with caregivers confirmed participation in the Careerforce training programme.  A competency programme is in place that includes annual medication competency for staff administering medications, manual handling, personal protective equipment/infection control, first aid and fire safety.  Competency questionnaires were sighted in reviewed files.  </w:t>
            </w:r>
          </w:p>
          <w:p w:rsidR="00EB7645" w:rsidRPr="00BE00C7" w:rsidP="00BE00C7">
            <w:pPr>
              <w:pStyle w:val="OutcomeDescription"/>
              <w:spacing w:before="120" w:after="120"/>
              <w:rPr>
                <w:rFonts w:cs="Arial"/>
                <w:b w:val="0"/>
                <w:lang w:eastAsia="en-NZ"/>
              </w:rPr>
            </w:pPr>
            <w:r w:rsidRPr="00BE00C7">
              <w:rPr>
                <w:rFonts w:cs="Arial"/>
                <w:b w:val="0"/>
                <w:lang w:eastAsia="en-NZ"/>
              </w:rPr>
              <w:t>There are six registered nurses, three are trained in interRAI.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staff are encouraged to complete New Zealand Qualification Authority (NZQA) education which is completed through Careerforce.  Currently there are two caregivers with level 4, and two with level 3.  A further six caregivers are in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RNs, caregivers, and the DT have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Ribbonwood Country Home has a documented rationale for determining staffing levels and skill mixes for safe service delivery.  There is a roster that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The manager and team leader works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There were 14 residents on the day of the audit (nine rest home and five hospital level).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shift has one caregiver and one registered nurse/team leader rostered.  An extra caregiver can be added to the roster if resident acuity requires this.  The manager and team leader share on call, supported by the PRIME nurse/GP on duty for the medical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registered nurse, caregivers and residents confirmed that there are sufficient staff to meet care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Ribbonwood Country Home have implemented an electronic medication management system.  The supplying pharmacy couriers all medicines in blister packs for regular and ‘as required’ medications.  Medications were checked and signed on arrival from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senior caregivers are assessed as medication competent to administer medication.  The RNs have completed syringe driver training.  Standing orders were not in use.  The medication fridge temperatures and room temperatures are recorded and within expected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files were reviewed.  Medication reviews were completed by the GP three-monthly.  ‘As required’ medications were prescribed correctly with indications for use.  Medications are stored securely in the locked medication room.  Controlled drug medications were appropriately stored.  There were two residents self-medicating inhalers.  Both had current medication competencies in place, which were reviewed three-monthly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Ribbonwood Country Home are prepared and cooked on site.  There is a four-weekly seasonal menu which has been reviewed in 2020.  There is a verified food control plan, completed by the local council.  Fridge, freezer and chiller temperatures are taken and recorded daily.  End-cooked food temperatures are recorded daily.  The dishwasher is checked regularly by the chemical supplier.  Fridge temperatures are recorded for the fridges in each resident dining/servery area.  All staff have completed training in food safety and hygiene and chemical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interviewed was aware of all residents’ special dietary requirements on the day of audit.  The cook is aware if residents are losing weight or not enjoying meals and she discusses with them or their families what food they would prefer, and this is provided.  Supplements are provided to residents with identified weight loss issues.  Individual resident likes, and dislikes are accommodated.  Cultural and religious food preferences are accommodated.  Resident meetings and surveys allow the opportunity for resident feedback on the meals and food services generally.  The cook stated the residents also regularly provide verbal feedback.  Residents and relatives interviewed were very complimentary about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when a resident's condition alters, a registered nurse initiates a review and if required, GP, nurse specialist consultation.  The caregivers follow the care plan and report progress at the end of each shift.  The relatives interviewed stated they were notified of any changes to their relative’s health.  Short-term care plans were used for short term/acute changes in care.  These were in place for infections in the resident files reviewed.  A review of five resident files identified goals and interventions; however, not all interventions were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Neurological observations had been completed for unwitnessed falls where there was a possibility of a head injury. </w:t>
            </w:r>
          </w:p>
          <w:p w:rsidR="00EB7645" w:rsidRPr="00BE00C7" w:rsidP="00BE00C7">
            <w:pPr>
              <w:pStyle w:val="OutcomeDescription"/>
              <w:spacing w:before="120" w:after="120"/>
              <w:rPr>
                <w:rFonts w:cs="Arial"/>
                <w:b w:val="0"/>
                <w:lang w:eastAsia="en-NZ"/>
              </w:rPr>
            </w:pPr>
            <w:r w:rsidRPr="00BE00C7">
              <w:rPr>
                <w:rFonts w:cs="Arial"/>
                <w:b w:val="0"/>
                <w:lang w:eastAsia="en-NZ"/>
              </w:rPr>
              <w:t>There was one wound on the day of the audit, which had a wound assessment, plan and evaluations which indicated progression towards healing of the wound.  Adequate dressing supplies were sighted in the treatment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were available and resident files included a urinary continence assessment, bowel management, and continence products identified.  There is access to a continence nurse specialist by referral.  Residents are weighed monthly or more frequently if weight is of concern.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were used for weight and vital signs, blood sugar levels, pain, challenging behaviour, and food and fluid charts, however, these were not always completed as directed.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diversional therapist employed who works 12 hours per week, Monday – Friday, with flexibility to work hours that suit the residents’ needs.  All staff incorporate activities on a daily basis as part of their caregiving/nursing roles.  Each resident has an individual activities profile and assessment on admission and from this information, an individual activities plan is developed.  Monthly progress notes document the resident’s involvement in activities, and progression towards meeting residents’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attendance register is maintained for each resident.  A monthly plan is developed with opportunity to provide spontaneous activities that meet the residents’ needs.  Activities include (but not limited to); happy hours, music therapy, weekly church service on a Sunday, group games and outings (weather permitting).  The activities programme reflects the residents’ cognitive and physical abilities.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school student completing the Duke of Edinburgh programme, who visits the facility to facilitate housie, the local play centre visit and volunteers from the community assist with games and crafts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commented that activities meet resident needs.  There are bi-monthly resident meetings, where residents are asked for suggestions as part of planning activities for the next month.  Newsletters are sent two monthly, and updates relatives of what’s been going on around the facility and upcoming events.  The Facebook page has been very popular and is utilised to update relatives of activities and outings.  Relatives also post photos for staff to show their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for long-term residents were evaluated by the team leader or registered nurse within three weeks of admission.  Long-term care plans have been evaluated six monthly or earlier if required.  A multi-disciplinary team (MDT) meeting is held by the team leader or registered nurses, DT with input from the caregivers.  The resident is present at the review meeting and relatives are invited to attend or updated if unable to attend.  The MDT meetings document progression towards meeting the residents’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when the residents condition changes, a short-term care plan is implemented, reviewed and evaluated in a timely manner or added to the long-term care plan, however, not all care plan interventions were current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reviews the residents at least three-monthly or earlier if required.  Ongoing nursing evaluations occur as indicated and are documented within the progress notes or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expiring on 8 January 2022.  Preventative and reactive maintenance occurs, and records are maintained.  Hot water temperatures are checked regularly and were within ranges.  Tradesmen are available if required.  Equipment has been tagged and tested.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are accessible for residents using mobility aids.  There are three lounge areas with a sliding door between two areas, and a small lounge at the end of the corridor looking out over views of the countryside.  The dining room is adjacent from the kitchen and provides adequate space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Outdoor areas and gardens are manicured and accessible to residents and have seating and shade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stated they have sufficient equipment including mobility aids, wheelchairs and pressure injury equipment (if required), to safely deliver the cares as outlined in the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Ribbonwood Country Home continues to implement their infection surveillance programme.  Individual infection reports were completed for all infections.  Three-monthly electronic report and graphs have been completed by the infection control coordinator (team leader) and included in the Board report.  Infection control (IC) issues are discussed at the head of department and staff meetings, there was evidence of discussing trends in staff meetings.  In-service education is provided annually and in toolbox talks when required.  Infection control rates remain very low, with some months with no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was well prepared for, with extra staff meetings and education sessions completed.  The district health board have completed a Covid-19 audit and corrective actions have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policies and procedures include definitions, processes and use of restraints and enablers.  The team leader is the restraint coordinator. At the time of the audit there were no residents using restraints or enablers.  Staff training has been held for management of challenging behaviours, and restraint minimisation.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01"/>
        <w:gridCol w:w="1280"/>
        <w:gridCol w:w="5257"/>
        <w:gridCol w:w="2909"/>
        <w:gridCol w:w="20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five resident files reviewed, initial assessments, care plans and interRAI assessments were completed within expected timeframes, however, the long-term care plans were completed before the interRAI assessment was completed.  Care plans were not evidenced as reviewed following the completion of the interRAI assessment.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were completed after the long-term care plan, therefore did not inform the care plan in two hospital and three rest home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assessments completed inform the long-term care plan interventions.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the care plans reviewed included information and instructions for caregivers to provide care for the residents.  The caregivers interviewed felt there was sufficient information in the care plans to guide them to provide care for the residents.  However not all interventions were documented in the care plans, and not all monitoring charts had been completed as directed by the GP/care plan interventions.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use for short-term needs and had been reviewed and either resolved or transferred to the long-term care plans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Interventions around management of high and low blood sugar levels and expected ranges for blood sugar levels were not documented in the care plan for one rest home level resident who is an insulin dependent diabetic.</w:t>
            </w:r>
          </w:p>
          <w:p w:rsidR="00EB7645" w:rsidRPr="00BE00C7" w:rsidP="00BE00C7">
            <w:pPr>
              <w:pStyle w:val="OutcomeDescription"/>
              <w:spacing w:before="120" w:after="120"/>
              <w:rPr>
                <w:rFonts w:cs="Arial"/>
                <w:b w:val="0"/>
                <w:lang w:eastAsia="en-NZ"/>
              </w:rPr>
            </w:pPr>
            <w:r w:rsidRPr="00BE00C7">
              <w:rPr>
                <w:rFonts w:cs="Arial"/>
                <w:b w:val="0"/>
                <w:lang w:eastAsia="en-NZ"/>
              </w:rPr>
              <w:t>(ii)  There were no vital signs consistently recorded for a hospital level resident with low oxygen saturations and shortness of breath.</w:t>
            </w:r>
          </w:p>
          <w:p w:rsidR="00EB7645" w:rsidRPr="00BE00C7" w:rsidP="00BE00C7">
            <w:pPr>
              <w:pStyle w:val="OutcomeDescription"/>
              <w:spacing w:before="120" w:after="120"/>
              <w:rPr>
                <w:rFonts w:cs="Arial"/>
                <w:b w:val="0"/>
                <w:lang w:eastAsia="en-NZ"/>
              </w:rPr>
            </w:pPr>
            <w:r w:rsidRPr="00BE00C7">
              <w:rPr>
                <w:rFonts w:cs="Arial"/>
                <w:b w:val="0"/>
                <w:lang w:eastAsia="en-NZ"/>
              </w:rPr>
              <w:t>(iii) The long-term care plan interventions were not current around falls prevention for a rest home resident.</w:t>
            </w:r>
          </w:p>
          <w:p w:rsidR="00EB7645" w:rsidRPr="00BE00C7" w:rsidP="00BE00C7">
            <w:pPr>
              <w:pStyle w:val="OutcomeDescription"/>
              <w:spacing w:before="120" w:after="120"/>
              <w:rPr>
                <w:rFonts w:cs="Arial"/>
                <w:b w:val="0"/>
                <w:lang w:eastAsia="en-NZ"/>
              </w:rPr>
            </w:pPr>
            <w:r w:rsidRPr="00BE00C7">
              <w:rPr>
                <w:rFonts w:cs="Arial"/>
                <w:b w:val="0"/>
                <w:lang w:eastAsia="en-NZ"/>
              </w:rPr>
              <w:t>(iv) The side effects of warfarin were not documented in the care plan for a rest home resident who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  There were no interventions documented for a resident receiving eye baths and eye cares as directed by the GP.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interventions include risk management such as signs and symptoms of hyper and hypo glycaemia, and the range of acceptable blood sugar ranges.  </w:t>
            </w:r>
          </w:p>
          <w:p w:rsidR="00EB7645" w:rsidRPr="00BE00C7" w:rsidP="00BE00C7">
            <w:pPr>
              <w:pStyle w:val="OutcomeDescription"/>
              <w:spacing w:before="120" w:after="120"/>
              <w:rPr>
                <w:rFonts w:cs="Arial"/>
                <w:b w:val="0"/>
                <w:lang w:eastAsia="en-NZ"/>
              </w:rPr>
            </w:pPr>
            <w:r w:rsidRPr="00BE00C7">
              <w:rPr>
                <w:rFonts w:cs="Arial"/>
                <w:b w:val="0"/>
                <w:lang w:eastAsia="en-NZ"/>
              </w:rPr>
              <w:t>(ii). Ensure observations are documented for changes in health status such as low oxygen saturations and shortness of breath.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(iii)-(iv). Ensure all care plan interventions are current.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West Otago Health Limited - Ribbonwood Country Home</w:t>
    </w:r>
    <w:bookmarkEnd w:id="58"/>
    <w:r>
      <w:rPr>
        <w:rFonts w:cs="Arial"/>
        <w:sz w:val="16"/>
        <w:szCs w:val="20"/>
      </w:rPr>
      <w:tab/>
      <w:t xml:space="preserve">Date of Audit: </w:t>
    </w:r>
    <w:bookmarkStart w:id="59" w:name="AuditStartDate1"/>
    <w:r>
      <w:rPr>
        <w:rFonts w:cs="Arial"/>
        <w:sz w:val="16"/>
        <w:szCs w:val="20"/>
      </w:rPr>
      <w:t>9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