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South Care Limited - South Care Rest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South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South Care Rest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9 September 2021</w:t>
      </w:r>
      <w:bookmarkEnd w:id="7"/>
      <w:r w:rsidRPr="009418D4">
        <w:rPr>
          <w:rFonts w:cs="Arial"/>
        </w:rPr>
        <w:tab/>
        <w:t xml:space="preserve">End date: </w:t>
      </w:r>
      <w:bookmarkStart w:id="8" w:name="AuditEndDate"/>
      <w:r w:rsidR="00A4268A">
        <w:rPr>
          <w:rFonts w:cs="Arial"/>
        </w:rPr>
        <w:t>10 September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A group structure is under development.</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South Care Rest Home &amp; Hospital (South Care) provides rest home and hospital level care for up to eighty residents in Dunedin. The service is operated by South Care Limited and is managed by an onsite facility manager and a clinical services manager. A general manager and national staff provide support to four facilities across the country. Residents and family/whānau members spoke positively about the care provided.</w:t>
      </w:r>
    </w:p>
    <w:p w:rsidRPr="00A4268A">
      <w:pPr>
        <w:spacing w:before="240" w:line="276" w:lineRule="auto"/>
        <w:rPr>
          <w:rFonts w:eastAsia="Calibri"/>
        </w:rPr>
      </w:pPr>
      <w:r w:rsidRPr="00A4268A">
        <w:rPr>
          <w:rFonts w:eastAsia="Calibri"/>
        </w:rPr>
        <w:t xml:space="preserve">This is the first full certification audit undertaken under new facility ownership.  The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staff, external visiting health professionals and a general practitioner. </w:t>
      </w:r>
    </w:p>
    <w:p w:rsidRPr="00A4268A">
      <w:pPr>
        <w:spacing w:before="240" w:line="276" w:lineRule="auto"/>
        <w:rPr>
          <w:rFonts w:eastAsia="Calibri"/>
        </w:rPr>
      </w:pPr>
      <w:r w:rsidRPr="00A4268A">
        <w:rPr>
          <w:rFonts w:eastAsia="Calibri"/>
        </w:rPr>
        <w:t xml:space="preserve">This audit has identified six areas for improvement relating to review of risks, recording of completion of police vetting for staff, continuity of service delivery, emergency food supplies, cleaning processes for mops and buckets and the need to have a current approved fire evacuation plan.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Personal privacy, independence, individuality, and dignity are supported.  Staff interact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was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A complaints register is maintained with the single recorded complaint resolved promptly and effectively. Verbal concerns are also documented and acted upon where necessary.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Business and quality planning is implemented.  It includes the scope, direction, goals, values, and the mission statement of the organisation.  Regular monitoring of operational activities is undertaken, and performance reported at the monthly management meetings provided.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through regular meetings and communication, and ongoing feedback is sought from residents and families. Adverse events are documented with corrective actions implemented where necessary.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All staff have been through the organisation’s new orientation programme since the sale and purchase of the facility.  Performance review systems are in place and implemented.  A systematic approach to identify and deliver ongoing training and qualifications supports safe service delivery. Staffing levels and skill mix meet the changing needs of residents. </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potential resident/family. </w:t>
      </w:r>
    </w:p>
    <w:p w:rsidRPr="00A4268A" w:rsidP="00621629">
      <w:pPr>
        <w:spacing w:before="240" w:line="276" w:lineRule="auto"/>
        <w:rPr>
          <w:rFonts w:eastAsia="Calibri"/>
        </w:rPr>
      </w:pPr>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C8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medium or high risk and/or unattained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 older facility meets the needs of residents and was clean and adequately maintained.  An extensive planned maintenance programme has commenced.  There is a current building warrant of fitness.  Electrical equipment is tested as required and was current. </w:t>
      </w:r>
    </w:p>
    <w:p w:rsidRPr="00A4268A">
      <w:pPr>
        <w:spacing w:before="240" w:line="276" w:lineRule="auto"/>
        <w:rPr>
          <w:rFonts w:eastAsia="Calibri"/>
        </w:rPr>
      </w:pPr>
      <w:r w:rsidRPr="00A4268A">
        <w:rPr>
          <w:rFonts w:eastAsia="Calibri"/>
        </w:rPr>
        <w:t xml:space="preserve">Communal and individual spaces are maintained at a comfortable temperature. External areas are accessible, safe and provide outdoor seating. </w:t>
      </w:r>
    </w:p>
    <w:p w:rsidRPr="00A4268A">
      <w:pPr>
        <w:spacing w:before="240" w:line="276" w:lineRule="auto"/>
        <w:rPr>
          <w:rFonts w:eastAsia="Calibri"/>
        </w:rPr>
      </w:pPr>
      <w:r w:rsidRPr="00A4268A">
        <w:rPr>
          <w:rFonts w:eastAsia="Calibri"/>
        </w:rPr>
        <w:t>Waste and hazardous substances are well managed.  Staff use protective equipment and clothing which is readily available.  Chemicals, hazardous substances, and linen are safely stored.  Laundry is now undertaken onsite in a well-equipped laundry.  The cleaning team have access to suitable chemicals and equipment to maintain the facility in a clean and hygienic state. Both are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which include a staff pager function.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implemented policies and procedures that support the minimisation of restraint.  Three enablers were in use at the time of audit.  No restraint has occurred in the past year.  Processes are in place to ensure suitable approval; assessment implementation and monitoring occurs should this be required. </w:t>
      </w:r>
    </w:p>
    <w:p w:rsidRPr="00A4268A">
      <w:pPr>
        <w:spacing w:before="240" w:line="276" w:lineRule="auto"/>
        <w:rPr>
          <w:rFonts w:eastAsia="Calibri"/>
        </w:rPr>
      </w:pPr>
      <w:r w:rsidRPr="00A4268A">
        <w:rPr>
          <w:rFonts w:eastAsia="Calibri"/>
        </w:rPr>
        <w:t>The use of enablers is voluntary for the safety of residents in response to individual requests.  Staff demonstrated a sound knowledge and understanding of enabler processes and strategies for challenging behaviour to minimise the need for any restraint.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are led by a new infection control coordinator, with support from the clinical manager and a national clinical team with experience in this area.  The programme aims to prevent and manage infections and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4</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5</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51"/>
        <w:gridCol w:w="1280"/>
        <w:gridCol w:w="930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South Care Rest Home &amp; Hospital (South Care)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 relevant guidance to staff.  Clinical files reviewed showed that informed consent has been gained appropriately using the organisation’s standard consent forms.  Advance care planning, establishing and documenting enduring power of attorney requirements and processes for residents unable to consent is defined and documented, as relevant, in the resident’s record.  Staff were observed to gain consent for day-to-day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provided with information on the Code, the Nationwide Advocacy Service and on how to make a complaint.  This is included as part of the individual resident agreement documentation.  Brochures related to the Advocacy Service were available in the facility reception area.  Family members and residents spoken with were aware of the Advocacy Service as they attend residents’ meetings.  They stated they are aware of how to access this service and their right to have support persons. The clinical manager stated that they had no examples of involvement of Advocacy Services but would continue to invite them to be part of the residents’ meetings monthly.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outside of COVID-19 level restrictions, has unrestricted visiting hours, and encourages visits from residents’ families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management policy and associated forms meet the requirements of Right 10 of the Code.  The information is provided to residents on admission and there is complaints information and forms available in several areas 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there has been one formal complaint received over the past year and that actions taken, through to an agreed resolution, were documented and completed within the timeframes specified in the Code.  An action plans showed the required follow up and improvements have been made to address the issues raised.  The facility manager is responsible for complaints management and follow up. </w:t>
            </w:r>
          </w:p>
          <w:p w:rsidR="00EB7645" w:rsidRPr="00BE00C7" w:rsidP="00BE00C7">
            <w:pPr>
              <w:pStyle w:val="OutcomeDescription"/>
              <w:spacing w:before="120" w:after="120"/>
              <w:rPr>
                <w:rFonts w:cs="Arial"/>
                <w:b w:val="0"/>
                <w:lang w:eastAsia="en-NZ"/>
              </w:rPr>
            </w:pPr>
            <w:r w:rsidRPr="00BE00C7">
              <w:rPr>
                <w:rFonts w:cs="Arial"/>
                <w:b w:val="0"/>
                <w:lang w:eastAsia="en-NZ"/>
              </w:rPr>
              <w:t>Verbal complaints and concerns are documented, including those identified in the resident/family satisfaction surveys, in a verbal complaint register and acted upon where possible. Examples were discussed.  The system is through, with residents and families stating that the staff are responsive and list to concerns.</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confirmed a sound understanding of the complaint process and what actions are required.  Most reported they had raised resident concerns with senior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reported being made aware of the Code and the Nationwide Health and Disability Advocacy Service (Advocacy Service) through the admission process and the admission agreement.  The Code is displayed in reception in both English and te Reo Māori together with information on advocacy services, how to make a complaint and feedback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Throughout the audit staff were observed to maintain residents’ privacy, and where relevant to give residents choices. All residents have a private room and although there are double rooms, the general manager stated they are only used as singles.  This was evident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as is appropriate to the individual. Two residents were witnessed arranging their own outings to their club.  Care plans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with the resident’s consent.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service’s policy on abuse and neglect, including what to do should there be any signs.  Education on abuse and neglect was confirmed to occur during orientation and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support the two residents in the service who identify as Māori to integrate their cultural values and beliefs to the level of their choice as confirmed by a Māori resident during interview.  The principles of the Treaty of Waitangi are incorporated into day-to-day practice, as is the importance of whānau.  There is a current Māori health plan developed with input from cultural advisers.  Guidance on tikanga best practice is available.  A Māori resident interviewed reported that staff acknowledge and respected their individual cultural needs and beliefs.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respected these.  This was confirmed by the relatives spoken with.  Resident’s personal preferences required interventions and special needs were included in care plans.  The resident satisfaction survey confirmed that individual needs are being met.  An interdenominational service is held within the facility fortnightly.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residents were free from any type of discrimination, harassment or exploitation and felt safe.  This was confirmed by four visiting health professionals.  The induction process for staff included education related to professional boundaries, expected behaviours and the Code of Conduct.  All registered nurses have records of completion of the required training on professional boundaries.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input from external specialist services and allied health professionals, for example, the palliative care team and wound care specialist.  The general practitioner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they receive management support for external education and access their own professional networks to support contemporary good practice and that there was an abundance of in-service education provided for them. </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 respectful communication of staff with residents, ensuring residents were happy and providing immediate attention if there was anything they could assist with. The activity programme is diverse and involves residents at both individual and group level.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evident in residents’ records reviewed.  Staff understood the principles of open disclosure, which was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and nurses knew how to access interpreter services through the local hospital but reported this had not been needed to date.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strategic and business plans are reviewed consistently and outline the vision, mission, and values of the organisation.  The documents described annual and longer-term objectives of the group and the associated operational plans for the facility. The facility manager provides a monthly report against the objectives to the general manager/owner. Each facility provides comprehensive information about its performance within the group, including progress with quality, business, and clinical indicators.  A sample of reports reviewed showed adequate information to monitor performance is reported to support organisational decision making. Regular meetings of the facilities and clinical managers occurs most months via video conferencing, to discuss matters of common interest.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small national operational clinical support team is available to the facility, which includes clinical expertise and support. Roving managers can provide additional support to the facility team and provide back up for the managers during periods of leave. The facility manager is supported by the clinical manager, and a small, registered nurse and health care assistant team for operational matters.  Regular meetings with the team are held each month.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 is a registered nurse holding a current annual practising certificate.  The facility manager has medical training and is pursuing post graduate qualification in public health.  Other senior staff have completed business qualifications or hold health professional qualifications.  The clinical manager is a registered nurse who has worked in the facility prior to the current ownership.  They are planning further relevant education.  Roles, responsibilities, and accountabilities are defined in job descriptions and individual employment agreements for the management team.  The GM and facility manager confirmed knowledge of the sector, the regulatory and reporting requirements and maintain currency through local and national sector updates.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Southern District Health Board for hospital level medical, geriatric and rest home care including respite care.  There twenty-three rest home and twenty-three hospital residents on the day of audit including two under 65-year-old residents with long term support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facility manager is absent, one of the senior team performs all the required duties under delegated authority.  The general manager is also available on call as necessary with contact maintained through ‘What’s app’ and phone contact. During absences of key clinical staff, the clinical management is overseen by the overall (group) clinical manager who is experienced in the sector and able to take responsibility for any clinical issues that may arise.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business, quality risk system and management plan that is implemented and reflects the principles of continuous improvement and domains of quality.  Each of the quality goals incorporates these domains and these were well understood by staff.  This included management of incidents and complaints, internal audit activities, a regular patient satisfaction surveys, monitoring of outcomes, clinical incidents, including infections, pressure injuries and falls.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 GM and facility manager described the processes for the identification, monitoring and reporting of operational business activities. A hazard register identifies specific hazards in the facility and any mitigation necessary. Risks and new or emerging issues are discussed, although there is no specific register identifying priority risk issues, or which incorporate risk-based thinking or mitigation strategies. (Refer 1.2.3.9).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Regular staff meetings (“all staff” and registered nurses) provide a forum for discussing quality issues. Meeting minutes and attendance are maintained and follow a set agenda. Three sets of minutes for each meeting were reviewed in detail.  This confirmed comprehensive reporting systems and discussion routinely occurs.  Regular review of quality indicators is completed, and data is collated, analysed, reported, and discussed at the management team meeting.  This is supported by graphed results to aid comparative analysis.  Indicators discussed included pressure injuries, restraint/enablers, falls, complaints, incidents/events, infections, audit results and activities.  Maintenance issues and training needs are noted.  A facility monitoring report is also documented.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their involvement in quality and risk activities through internal audit activities.  Relevant corrective actions are developed and implemented where necessary.  Staff, resident, and family surveys are completed at least annually.  The last survey showed improving levels of satisfaction, including for the food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suite of policies covers all necessary aspects of the service and contractual requirements and were current.  The document control system ensures a systematic and regular review process, referencing of relevant sources, approval, distribution, and removal of obsolete documents.  Staff are updated on new policies or changes to policies through staff meetings and verified that they have read the policy and procedure.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 hard copy accident/incident form.  Residents' documentation reviewed provided evidence of communication with families/next-of-kin/enduring power of attorney (EPOA) following adverse events involving the resident, or any change in the resident’s condition, in accordance with the open disclosure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sample of incidents forms reviewed showed these were fully completed, incidents were investigated, action plans developed, and actions followed-up in a timely manner. Adverse event data is collated, analysed, and reported to staff and management through the regular meetings.  Meeting minutes reviewed showed discussion in relation to trends, action plans and improvements are made. </w:t>
            </w:r>
          </w:p>
          <w:p w:rsidR="00EB7645" w:rsidRPr="00BE00C7" w:rsidP="00BE00C7">
            <w:pPr>
              <w:pStyle w:val="OutcomeDescription"/>
              <w:spacing w:before="120" w:after="120"/>
              <w:rPr>
                <w:rFonts w:cs="Arial"/>
                <w:b w:val="0"/>
                <w:lang w:eastAsia="en-NZ"/>
              </w:rPr>
            </w:pPr>
            <w:r w:rsidRPr="00BE00C7">
              <w:rPr>
                <w:rFonts w:cs="Arial"/>
                <w:b w:val="0"/>
                <w:lang w:eastAsia="en-NZ"/>
              </w:rPr>
              <w:t>Policy and procedures (Accidents and Incidents) described essential notification reporting requirements.  This included pressure injuries, health and safety, professional bodies, notifiable conditions, the coroner, section 31’s).  The GM advised there have been no notifications of significant events required or to the Ministry of Health, under the new ownership.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developed in line with good employment practice and relevant legislative requirements.  Various advertising methods are used for effective recruitment.  Position descriptions reviewed were current and defined the key tasks and accountabilities for each role.  The recruitment process included referee checks, police vetting and validation of qualifications and practising certificates (APCs), where required.  These records are systematically maintained, except for completion of the vetting process (refer 1.2.7.3). A sample of staff records reviewed confirmed the organisation’s human resources policies are being consistently implemented.  Under the new ownership, all staff have undergone a full (re)employment process, including the organisation’s full orientation with new personnel records for each staff member.  Orientation packs are used for new appointments and records reviewed were well ordered and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feeling the orientation process prepared them well and they have a good understanding of what is required of them. Orientation is thorough and included support from a ‘buddy’ through their initial orientation period. Staff records reviewed showed documentation of completed orientation and a performance review after an initial three-month, then six-month period, then followed by annual appraisals. These were on file for the initial appraisal for new staff and are either underway or scheduled for existing staff who have ben reemployed.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 biannual basis according to a comprehensive schedule.  Mandatory training requirements are defined and scheduled to occur over the course of two years.  Significant training sessions have also been implemented in the last nine months with good attendance by staff noted.  Care staff have either completed or commenced a New Zealand Qualification Authority education programme to meet the requirements of the ARRC agreement. Staff may commence qualifications after successful completion of all orientation and performance review. Presently five staff have commenced or completed level 2, six are at level 3 and three at level four. An external assessor is contracted to support staff on the qualification pathway.  Education records reviewed showed completion of the required training.  Training records are meticulously maintained.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documented rationale for determining staffing levels and skill mixes is in place to ensure safe service delivery. The facility has staffing levels that reflected the needs of the residents and in consideration of the fragmented layout of the building.  Presently, staffing is in place for the four downstairs wings, while one upstairs wing remains unoccupied. Additional ‘float staff’ have been rostered as resident numbers have grown. Levels are adjusted, if necessary, as the needs of resident’s change (e.g., for palliative care).  There is 24 hour/seven days a week (24//7) registered nurse coverage in the hospital.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minimum number of staff is provided during the night shift and consists of one registered nurse and two caregivers.  This is made possible by locating staff to one of the three different stations throughout the facility. An effective afterhours on call roster is in place, with staff reporting good access to advice readily available via ‘What’s App’ when needed.  This ensures registered staff always have support from the general clinical manager or other members of the management team.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reported adequate staff were available and that they were able to complete the work allocated to them. This was further supported by residents and family members interviewed.  Observations and review of three two-week roster cycle samples during this audit confirmed adequate staff cover has been provided and there were no examples of working ‘short.’  The rostering system also alerts senior staff when staff have worked over the threshold of their rostered hours and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presently does not use bureau staff.  Most staff are rostered for a minimum of 32 hours per week which allows flexibility for short notice roster gaps.  There are plans to develop a pool of casual staff to supplement the current staff group.  This includes registered nurses, which may be redeployed between facilities for short periods, such as to cover an upcoming registered nurse vacancy.  Two recently appointed overseas registered nurses have not yet been able to enter the country, creating ongoing staffing challenges.  However, the three rosters sighted were covered as required by the aged residential care contract.  All clinical staff (registered nurses, health care assistants and diversional therapists/activities coordinators) hold current basic first aid certificates.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sampled for review.  Clinical notes were current and integrated with GP notes.  This included interRAI assessment information entered in the Momentum electronic database.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Needs Assessment and Service Coordination (NASC) Service.  Prospective residents and/or their families are encouraged to visit the facility prior to admission and are provided with written information about the service.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 Service charges comply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Exit, discharge, or transfer is managed in a planned and co-ordinated manner, with an escort as appropriate.  The service uses the DHB’s ‘yellow envelope’ system to facilitate transfer of residents to and from acute care services. There is open communication between all services, the resident and the family/whānau.  At the time of transition between services, appropriate information is provided for the ongoing management of the resident.  All referrals are documented in the progress notes. </w:t>
            </w:r>
          </w:p>
          <w:p w:rsidR="00EB7645" w:rsidRPr="00BE00C7" w:rsidP="00BE00C7">
            <w:pPr>
              <w:pStyle w:val="OutcomeDescription"/>
              <w:spacing w:before="120" w:after="120"/>
              <w:rPr>
                <w:rFonts w:cs="Arial"/>
                <w:b w:val="0"/>
                <w:lang w:eastAsia="en-NZ"/>
              </w:rPr>
            </w:pPr>
            <w:r w:rsidRPr="00BE00C7">
              <w:rPr>
                <w:rFonts w:cs="Arial"/>
                <w:b w:val="0"/>
                <w:lang w:eastAsia="en-NZ"/>
              </w:rPr>
              <w:t>An example reviewed of a patient recently returned following a transferred to the local acute care facility showed the staff of South Care had provided clear and appropriate documentation to assist the receiving hospital understand the care required.  Family of the resident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was current and identified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  The six-monthly stock checks are performed by the pharmacist who stated there have not been any concerns and controlled drugs are well managed.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and had been recorded daily. </w:t>
            </w:r>
          </w:p>
          <w:p w:rsidR="00EB7645" w:rsidRPr="00BE00C7" w:rsidP="00BE00C7">
            <w:pPr>
              <w:pStyle w:val="OutcomeDescription"/>
              <w:spacing w:before="120" w:after="120"/>
              <w:rPr>
                <w:rFonts w:cs="Arial"/>
                <w:b w:val="0"/>
                <w:lang w:eastAsia="en-NZ"/>
              </w:rPr>
            </w:pPr>
            <w:r w:rsidRPr="00BE00C7">
              <w:rPr>
                <w:rFonts w:cs="Arial"/>
                <w:b w:val="0"/>
                <w:lang w:eastAsia="en-NZ"/>
              </w:rPr>
              <w:t>Prescribing practices included the prescriber’s signature and date recorded on the commencement and discontinuation of medicines and all requirements for pro re nata (PRN) medicines.  The required three-monthly GP review was consistently recorded on the medicine chart.  Standing orders are not used.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independently self-administering medications at the time of audit.  Three residents were being supported to administer their own medications.  These medications are stored in the medication room and are checked by a registered nurse and provided to the residents at the appropriate time.  Appropriate processes were in place to ensure this was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a qualified chef and kitchen team and is in line with recognised nutritional guidelines for older people.  The menu follows summer and winter patterns and has been reviewed by a qualified dietitian within the last two years - 7 September 2021.  Recommendations made at that time have been implemented into the menu.</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the Ministry of Primary Industries on 8 September 2021. Food temperatures, including for high-risk items, are monitored appropriately and recorded as part of the plan. The chef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Staff have access to snacks, biscuits, and sandwiches, for residents who may require them outside of usual hours.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If a referral is received but the prospective resident does not meet the entry criteria or there is no vacancy, the local NASC is advised to ensure the prospective resident and family are supported to find an appropriate care alternative.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If the needs of a resident change and they are no longer suitable for the services offered, a referral for reassessment to the NASC is made and a new placement found, in consultation with the resident and whānau/family.  Examples of this occurring were discussed. </w:t>
            </w:r>
          </w:p>
          <w:p w:rsidR="00EB7645" w:rsidRPr="00BE00C7" w:rsidP="00BE00C7">
            <w:pPr>
              <w:pStyle w:val="OutcomeDescription"/>
              <w:spacing w:before="120" w:after="120"/>
              <w:rPr>
                <w:rFonts w:cs="Arial"/>
                <w:b w:val="0"/>
                <w:lang w:eastAsia="en-NZ"/>
              </w:rPr>
            </w:pPr>
            <w:r w:rsidRPr="00BE00C7">
              <w:rPr>
                <w:rFonts w:cs="Arial"/>
                <w:b w:val="0"/>
                <w:lang w:eastAsia="en-NZ"/>
              </w:rPr>
              <w:t>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is documented using validated nursing assessment tools, such as a pain scale, nutritional screening, falls risk and risk of pressure injuries, to identify any deficits and to inform care planning. The sample of care plans reviewed had an integrated range of resident-related information.  All residents have current interRAI assessments completed and the relevant outcome scores support care plan goals and interventions.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Plans reviewed reflected the support needs of residents, and the outcomes of the integrated assessment process and other relevant clinical information.  The needs identified by the interRAI assessments were reflected in care plans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most documentation including progress notes, activity notes, medical and allied health professionals’ notations clearly written, informative and relevant.  There were some exceptions, such as observed behaviours noted on behaviour charts which were not reflected in documentation in the progress notes.  In other examples, changes in care that had occurred, were documented in the resident file, however detail was not verbally passed on to relevant staff unless it had occurred on the previous shift.  (Refer criterion1.3.3.4 for further detail).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observations, and interviews verified that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excellent especially when some of the residents present with behaviours that challenge. Care staff confirmed that care was provided as outlined in the documentation. </w:t>
            </w:r>
          </w:p>
          <w:p w:rsidR="00EB7645" w:rsidRPr="00BE00C7" w:rsidP="00BE00C7">
            <w:pPr>
              <w:pStyle w:val="OutcomeDescription"/>
              <w:spacing w:before="120" w:after="120"/>
              <w:rPr>
                <w:rFonts w:cs="Arial"/>
                <w:b w:val="0"/>
                <w:lang w:eastAsia="en-NZ"/>
              </w:rPr>
            </w:pPr>
            <w:r w:rsidRPr="00BE00C7">
              <w:rPr>
                <w:rFonts w:cs="Arial"/>
                <w:b w:val="0"/>
                <w:lang w:eastAsia="en-NZ"/>
              </w:rPr>
              <w:t>A range of equipment and resources were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one trained diversional therapist holding the national Certificate in Diversional Therapy and one activities coordinator.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Activities assessments are regularly reviewed to help formulate an activities programme that is meaningful to the residents.  The residents’ activity needs are evaluated weekly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A monthly activities calendar is developed and posted on the notice boards.  Activities reflected residents’ goals, ordinary patterns of life and included normal community activities.  Individual, group activities and regular events are offered.  Residents and families/whānau are involved in evaluating and improving the programme through monthly residents’ meetings and satisfaction surveys.  Residents interviewed confirmed they find the programme varied and interesting.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are offered at times when residents are most physically active and/or restless.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Examples of short-term care plans being consistently reviewed, and progress evaluated as clinically indicated were noted for all infections. When necessary, and for unresolved problems, long term care plans are added to and updated.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r w:rsidRPr="00BE00C7">
              <w:rPr>
                <w:rFonts w:cs="Arial"/>
                <w:b w:val="0"/>
                <w:lang w:eastAsia="en-NZ"/>
              </w:rPr>
              <w:t>Each resident’s activity needs are evaluated weekly as recorded in the activities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supported to access or seek referral to other health and/or disability service providers.  Although the service has a ‘house doctor,’ residents may choose to use another medical practitioner.  If the need for other non-urgent services is indicated or requested, the GP or RN sends a referral to seek specialist input.  Copies of referrals were sighted in residents’ files, including to wound care specialist and palliative service.  The resident and the family/whānau are kept informed of the referral process, as verified by documentation and interviews. </w:t>
            </w:r>
          </w:p>
          <w:p w:rsidR="00EB7645" w:rsidRPr="00BE00C7" w:rsidP="00BE00C7">
            <w:pPr>
              <w:pStyle w:val="OutcomeDescription"/>
              <w:spacing w:before="120" w:after="120"/>
              <w:rPr>
                <w:rFonts w:cs="Arial"/>
                <w:b w:val="0"/>
                <w:lang w:eastAsia="en-NZ"/>
              </w:rPr>
            </w:pPr>
            <w:r w:rsidRPr="00BE00C7">
              <w:rPr>
                <w:rFonts w:cs="Arial"/>
                <w:b w:val="0"/>
                <w:lang w:eastAsia="en-NZ"/>
              </w:rPr>
              <w:t>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Chemicals are not held in sufficient quantities to require a designated chemical handler.  An external company is contracted to supply and manage all chemicals and cleaning products and they also provide relevant training for staff. A change of provider occurred at the time of audit, with training provided to staff by the new supplier.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Material safety data sheets were available at locations where chemicals are stored.  Staff interviewed knew what to do should any chemical spill/event occur.  Spill kits are available.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sufficient protective clothing and equipment available, and staff were observed using this appropriately.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(expiry date 10 March 2022) is publicly displayed.  Hot water temperatures are maintained and monitored monthly, with a plumber following up any variance.</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This includes a recent appointment of a maintenance person with designated routine and reactive maintenance tasks.  There is a system to report minor maintenance issues, with tradespeople providing specialist maintenance where required (e.g., electrical, and plumbing repairs). Certificates of compliance are provided and on file where trades work has been undertaken. Testing and tagging of electrical equipment and calibration of bio medical equipment is current as confirmed in documentation reviewed, interviews with maintenance personnel and observation of equipment in use.  Efforts are made to ensure the environment is hazard free, that residents are safe, and independence is promoted.  Some areas of the facility include narrow corridors and the environment was noted to be maintained as clutter free as possible. There is space to store equipment away from thoroughfares.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are appropriate to the resident groups and setting.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This includes seven ensuite bathrooms, with the remainder being shared facilities located conveniently in each of the four wings. An upstairs wing also has suitable bathroom facilities but is not presently being used for residents.  Appropriately secured and approved handrails are provided in the toilet/shower areas, and other equipment such as shower chairs and stools are available to promote residents’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Adequate personal space is provided to allow residents and staff to move around safely within their bedrooms. Some bedrooms are designated as doubles; however, none are or are likely to be used for dual occupancy. These rooms provide a more suitable space to accommodate where residents need larger equipment. Rooms are of variable size, but every effort is made to ensure that rooms are suitable for the needs of the resident.  Most rooms include an electric bed, and are personalised with furnishings, photos and display of other personal items.</w:t>
            </w:r>
          </w:p>
          <w:p w:rsidR="00EB7645" w:rsidRPr="00BE00C7" w:rsidP="00BE00C7">
            <w:pPr>
              <w:pStyle w:val="OutcomeDescription"/>
              <w:spacing w:before="120" w:after="120"/>
              <w:rPr>
                <w:rFonts w:cs="Arial"/>
                <w:b w:val="0"/>
                <w:lang w:eastAsia="en-NZ"/>
              </w:rPr>
            </w:pPr>
            <w:r w:rsidRPr="00BE00C7">
              <w:rPr>
                <w:rFonts w:cs="Arial"/>
                <w:b w:val="0"/>
                <w:lang w:eastAsia="en-NZ"/>
              </w:rPr>
              <w:t>There is space to store mobility aids, walking frames and wheelchairs.  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 central dining area is spacious and enable easy access for residents and staff.  Residents can access areas for privacy, if required, with some more intimate spaces available in some wings. A lounge area is available in each wing and can safely accommodate residents.  One is used primarily for activities, with residents seen to move around between public areas.  Furniture is appropriate to the setting and resident needs. It is arranged in a manner which enables residents to mobilise freely and can be easily cleaned.  Most of the public areas have vinyl flooring which is easily maintained.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now undertaken on site in a dedicated laundry.  A new gas washing machine and dryer have been installed offering a range of suitable programmable wash and dry cycles.  Residents’ personal items are laundered on site (or by family members if requested). Consistent staffing in the laundry has resulted in effective systems and processes and reliable results.  The resident surveys and residents interviewed reported improved satisfaction, with the laundry well managed and clothes returned in a timely manner. Laundry staff demonstrated a sound knowledge of the laundry processes, dirty/clean flow, and handling of soiled linen. Staff wear PPE when handling and transporting soiled linen. </w:t>
            </w:r>
          </w:p>
          <w:p w:rsidR="00EB7645" w:rsidRPr="00BE00C7" w:rsidP="00BE00C7">
            <w:pPr>
              <w:pStyle w:val="OutcomeDescription"/>
              <w:spacing w:before="120" w:after="120"/>
              <w:rPr>
                <w:rFonts w:cs="Arial"/>
                <w:b w:val="0"/>
                <w:lang w:eastAsia="en-NZ"/>
              </w:rPr>
            </w:pPr>
            <w:r w:rsidRPr="00BE00C7">
              <w:rPr>
                <w:rFonts w:cs="Arial"/>
                <w:b w:val="0"/>
                <w:lang w:eastAsia="en-NZ"/>
              </w:rPr>
              <w:t>A small cleaning team were interviewed, and cleaning processes demonstrated.  Staff have received appropriate training and access to suitable equipment. A change of chemical provider was occurring during the audit and subsequently completed, with new safety data sheets available at the point of use. Staff attended training on the day and could describe the purpose of each item they were using.  A large cleaning area storage area and supplies were inspected.  Chemicals, trolleys, and buckets were stored in a locked room, however the processes to clean both mops and buckets needs review (see 1.4.6.2).  Cleaning and laundry processes are monitored through the internal audit programme, with consistently satisfactory results achieved.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established policies and guidelines for emergency planning and preparedness. Staff have received training in emergency responsiveness in the past year including trial fire evacuations.  A folder containing procedures for various civil defence emergencies, fire and other emergency situations is available to staff. A fire evacuation plan was verified as dating to 1987 but no copy is presently available (see 1.4.7.3).  A trial evacuation using staged evacuation occurs six-monthly, with a copy sent to the New Zealand Fire Service, the most recent being in August 2021.  The orientation programme includes fire and emergency response.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Emergency supplies of food are, however, not adequate for the numbers of residents and staff on site (Refer 1.4.7.4).  Except for emergency food supplies, there were adequate supplies available for use in the event of a civil defence emergency such as water supplies, blankets, torches, PPE, radios, and gas BBQs to meet the requirements for the number of residents. Monthly checks and stock rotation occurs.  Gas cooking is available if needed, however there is no generator available on site.  The organisation is reviewing its best options in the event of an extended loss of power. Emergency lighting is available for a few hours and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All staff including non-clinical staff, are trained in Basic First Aid (certificates sighted).  Training was completed in May 2021.</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reported staff respond promptly to call bells which are alerted via pagers held by the care staff.</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 and there are checks of the premises during the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and communal areas have opening external windows and/or doors.  Some rooms have doors that open to outside paved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Electric heating is provided with electric panel heaters in rooms, bathrooms, and hallways.  Areas were warm and well ventilated throughout the audit and residents and families confirmed the facilities are maintained at a comfortable temperature following the installation of additional heating over winter.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implements an infection prevention and control (IPC) programme to minimises the risk of infection to residents, staff, and visitors.  The programme is guided by a comprehensive and current infection control manual, with input from the DHB nurse infection control specialist.  The infection control programme and manual are reviewed annually (last reviewed in August 2021).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is the designated IPC coordinator, whose role and responsibilities are defined in a job description that was sighted during the audit.  The IPC coordinator is new to the role and is supported by the clinical manager and a national clinical team with experience in this area.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control matters, including surveillance results, are reported monthly to the general manager and management team at the managers’ meeting, and tabled at the monthly staff meeting.  The infection control committee includes the facility manager, IPC coordinator, the health and safety officer, and representatives from food services and household management and the care staff.  The infection committee meeting forms part of the monthly staff meeting. </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Signage is available as per the ministry of health guidelines relating to COVID-19.  The infection control manual provides guidance for staff about how long they must stay away from work if they have been unwell. The manual has been updated to included requirements for COVID-19.  Vaccinations for staff and residents are covered in this document.  Staff interviewed understood these responsibilities and described their use of personal protective equipment to help prevent the spread of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coordinator is new to this role, however, has received some instruction from the DHB infection control nurse specialist and is supported by a senior clinical team who have the appropriate skills, knowledge and qualifications. Additional support and information are accessed from the infection control team at the DHB, the community laboratory, the GP and public health unit, as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coordinator and the clinical manager confirmed the availability of resources to support the programme and any outbreak of an infection.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reflected the requirements of the infection prevention and control standard and current accepted good practice.  Policies were last reviewed in August 2021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Hand washing and sanitiser dispensers were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observation, and documentation verified staff have received education on infection prevention and control at orientation and ongoing education sessions.  Education is provided by suitably qualified RNs and the IPC coordinator.  Content of the training is documented and evaluated to ensure it is relevant, current, and understood.  A record of attendance is maintained.  When an infection outbreak or an increase in infection incidence has occurred, there was evidence that additional staff education has been provided in response.  There has not been an infection outbreak; however, the IPC nurse and the clinical manager were able to provide details of actions that would be taken if one was thought to occur.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Education with residents is on a one-to-one basis and has included reminders about handwashing, advice about remaining in their room if they are unwell, increasing fluids during hot weather.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eye, gastro-intestinal, respiratory tract and other. The IPC coordinator reviews all reported infections and the associated short term care plans, and these are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and analysed to identify any trends, possible causative factors and required actions. Results of the surveillance programme are shared with staff via regular staff meetings and at staff handovers.  Graphs are produced that identify trends every quarter and this is reported to the management team and staff monthly, which include the representatives of the infection control committee.  Data is benchmarked externally within the group of other aged care providers.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South Care operates in a restraint free environment. There have been no restraints used in the past year.  Policies and procedures meet the requirements of the restraint minimisation and safe practice standards and provide guidance on the safe use enablers. There is also guidance on the use of restraint in the event of an emergency. There is a clear focus on effective strategies to manage any challenging behaviour which is seen as a primary means to minimise the need for restraint.</w:t>
            </w:r>
          </w:p>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has very recently left the organisation.  In the interim, the facility clinical manager is the acting restraint coordinator.  There is a comprehensive role description outlining the support and oversight of systems for safe enabler use.  A sound understanding of the organisation’s policies, procedures and practice was demonstrated by staff spoken to. A training session has also been completed as part of the regular mandatory training programme, together with a restraint questionnaire which has been completed as part of the orientation implemented for all staff under the new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days of audit, three residents were using enablers, which were the least restrictive and used voluntarily at their request.  One or two bedsides are the only enablers presently used.  In each case, consent had been obtained and signed by the GP, the restraint coordinator, and the resident.  An enabler register is maintained.  Monitoring requirements are detailed in the policy and agreed to by the resident as part of the consenting process.  Monitoring forms were maintained for all three enablers. (Refer 1.3.3.4). </w:t>
            </w:r>
          </w:p>
          <w:p w:rsidR="00EB7645" w:rsidRPr="00BE00C7" w:rsidP="00BE00C7">
            <w:pPr>
              <w:pStyle w:val="OutcomeDescription"/>
              <w:spacing w:before="120" w:after="120"/>
              <w:rPr>
                <w:rFonts w:cs="Arial"/>
                <w:b w:val="0"/>
                <w:lang w:eastAsia="en-NZ"/>
              </w:rPr>
            </w:pPr>
            <w:r w:rsidRPr="00BE00C7">
              <w:rPr>
                <w:rFonts w:cs="Arial"/>
                <w:b w:val="0"/>
                <w:lang w:eastAsia="en-NZ"/>
              </w:rPr>
              <w:t>Restraint and enabler use is documented in the meeting minutes of the staff and registered nurse meetings.  This was evident on review of the restraint approval group minutes, files reviewed, and from interviews with staff.</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54"/>
        <w:gridCol w:w="1280"/>
        <w:gridCol w:w="5466"/>
        <w:gridCol w:w="2389"/>
        <w:gridCol w:w="15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1.2.3.9</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risks are identified, documented and where appropriate communicated to consumers, their family/whānau of choice, visitors, and those commonly associated with providing services. This shall include:</w:t>
              <w:br/>
              <w:t>(a) Identified risks are monitored, analysed, evaluated, and reviewed at a frequency determined by the severity of the risk and the probability of change in the status of that risk;</w:t>
              <w:br/>
              <w:t>(b) A process that addresses/treats the risks associated with service provision is developed and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states that the risk management programme is designed to ensure consistent management of operational risks and that risk management plans are incorporated into business plans to minimise loss exposure.</w:t>
            </w:r>
          </w:p>
          <w:p w:rsidR="00EB7645" w:rsidRPr="00BE00C7" w:rsidP="00BE00C7">
            <w:pPr>
              <w:pStyle w:val="OutcomeDescription"/>
              <w:spacing w:before="120" w:after="120"/>
              <w:rPr>
                <w:rFonts w:cs="Arial"/>
                <w:b w:val="0"/>
                <w:lang w:eastAsia="en-NZ"/>
              </w:rPr>
            </w:pPr>
            <w:r w:rsidRPr="00BE00C7">
              <w:rPr>
                <w:rFonts w:cs="Arial"/>
                <w:b w:val="0"/>
                <w:lang w:eastAsia="en-NZ"/>
              </w:rPr>
              <w:t>Broader organisational risks associated with quality and risk management are captured as quality goals and objectives in the organisation’s documentation. These cover the key risks occurring in residential care and these are referenced to on site folders for more detail.  However, the significance of each organisational risk is not clearly identified in documentation sighted (e.g., likelihood and consequence of the risk), or mitigation strategies recorded, for example, in a risk register.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frequency of review of identified risks does not reflect the significance of, or any changes in risk which may be occurring.  Apart from health and safety and hazards, wider organisational risks are not explicitly discussed or reviewed at the various meetings.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Further development is required to ensure that risks are reviewed at a frequency determined by the severity of the risk and the probability of changes in the status of the risk.</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1.2.7.3</w:t>
            </w:r>
          </w:p>
          <w:p w:rsidR="00EB7645" w:rsidRPr="00BE00C7" w:rsidP="00BE00C7">
            <w:pPr>
              <w:pStyle w:val="OutcomeDescription"/>
              <w:spacing w:before="120" w:after="120"/>
              <w:rPr>
                <w:rFonts w:cs="Arial"/>
                <w:b w:val="0"/>
                <w:lang w:eastAsia="en-NZ"/>
              </w:rPr>
            </w:pPr>
            <w:r w:rsidRPr="00BE00C7">
              <w:rPr>
                <w:rFonts w:cs="Arial"/>
                <w:b w:val="0"/>
                <w:lang w:eastAsia="en-NZ"/>
              </w:rPr>
              <w:t>The appointment of appropriate service providers to safely meet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Police vetting is undertaken as a matter of course for all newly appointed staff.  Since the change of ownership in November 2020, all existing staff have also undergone a full employment process and organisational orientation, including police vetting, as part of establishing new personnel files. Consent for vetting was present in all nine files reviewed, however not all files evidence receipt of a result to complete the vetting process.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 six of nine personnel files reviewed, there is no record of receipt of the police vetting result recorded.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Implement a system to ensure that receipt of police vetting results are recorded on the personnel file.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1.3.3.4</w:t>
            </w:r>
          </w:p>
          <w:p w:rsidR="00EB7645" w:rsidRPr="00BE00C7" w:rsidP="00BE00C7">
            <w:pPr>
              <w:pStyle w:val="OutcomeDescription"/>
              <w:spacing w:before="120" w:after="120"/>
              <w:rPr>
                <w:rFonts w:cs="Arial"/>
                <w:b w:val="0"/>
                <w:lang w:eastAsia="en-NZ"/>
              </w:rPr>
            </w:pPr>
            <w:r w:rsidRPr="00BE00C7">
              <w:rPr>
                <w:rFonts w:cs="Arial"/>
                <w:b w:val="0"/>
                <w:lang w:eastAsia="en-NZ"/>
              </w:rPr>
              <w:t>The service is coordinated in a manner that promotes continuity in service delivery and promotes a team approach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Despite a verbal handover occurring, the service is unable to provide evidence of clinical care details handed over between shifts for staff returning from leave.  The observed handover occurred verbally and contained details of care related to the previous shift only. Both nurses and health care assistants reported that if they had been away, they had to ask for any changes from other staff.  There was no handover documentation readily accessible to care staff. </w:t>
            </w:r>
          </w:p>
          <w:p w:rsidR="00EB7645" w:rsidRPr="00BE00C7" w:rsidP="00BE00C7">
            <w:pPr>
              <w:pStyle w:val="OutcomeDescription"/>
              <w:spacing w:before="120" w:after="120"/>
              <w:rPr>
                <w:rFonts w:cs="Arial"/>
                <w:b w:val="0"/>
                <w:lang w:eastAsia="en-NZ"/>
              </w:rPr>
            </w:pPr>
            <w:r w:rsidRPr="00BE00C7">
              <w:rPr>
                <w:rFonts w:cs="Arial"/>
                <w:b w:val="0"/>
                <w:lang w:eastAsia="en-NZ"/>
              </w:rPr>
              <w:t>Discrepancies in detail between the care plan and diversional therapy plan of the dietary requirements (diabetic diet) for one resident was noted.  This incorrect information was remedied by the clinical manager on the day.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Three residents have chosen to use enablers for safety reasons.  All three residents, have the required documentation regarding this, i.e., a completed consent for enabler use and the associated monitoring form. However, the use of enablers for safety reasons is not referred to in long-term care plans.  There is a disconnection in the documentation as the information was not carried through from assessment to the plan of care and this was discussed with two clinical managers on the day.  A further example related to a resident displaying challenging behaviour.  This is clearly recorded by the health care assistant, on the behaviour record sheet, however there is no equivalent entry about this in the progress notes which was completed by the registered nurse.  It is clear from discussions with staff that the registered nurses are kept informed, however in the examples described, details to support continuity of care was not always complete in the resident’s documentation.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Although verbal handovers do occur between shifts, written handover documentation (history and changes in care needs) is not consistently available to staff e.g., those staff returning from leave. </w:t>
            </w:r>
          </w:p>
          <w:p w:rsidR="00EB7645" w:rsidRPr="00BE00C7" w:rsidP="00BE00C7">
            <w:pPr>
              <w:pStyle w:val="OutcomeDescription"/>
              <w:spacing w:before="120" w:after="120"/>
              <w:rPr>
                <w:rFonts w:cs="Arial"/>
                <w:b w:val="0"/>
                <w:lang w:eastAsia="en-NZ"/>
              </w:rPr>
            </w:pPr>
            <w:r w:rsidRPr="00BE00C7">
              <w:rPr>
                <w:rFonts w:cs="Arial"/>
                <w:b w:val="0"/>
                <w:lang w:eastAsia="en-NZ"/>
              </w:rPr>
              <w:t>Resident documentation sighted at audit was not fully complete and did not support continuity of care e.g., enabler use and challenging behaviour.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is coordinated in a manner that provides continuity in service delivery including current documentation to guide care.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1.4.6.2</w:t>
            </w:r>
          </w:p>
          <w:p w:rsidR="00EB7645" w:rsidRPr="00BE00C7" w:rsidP="00BE00C7">
            <w:pPr>
              <w:pStyle w:val="OutcomeDescription"/>
              <w:spacing w:before="120" w:after="120"/>
              <w:rPr>
                <w:rFonts w:cs="Arial"/>
                <w:b w:val="0"/>
                <w:lang w:eastAsia="en-NZ"/>
              </w:rPr>
            </w:pPr>
            <w:r w:rsidRPr="00BE00C7">
              <w:rPr>
                <w:rFonts w:cs="Arial"/>
                <w:b w:val="0"/>
                <w:lang w:eastAsia="en-NZ"/>
              </w:rPr>
              <w:t>The methods, frequency, and materials used for cleaning and laundry processes are monitored for effectiveness.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implemented processes guided by policy for laundry and cleaning activities.  Practices observed shows that mops are washed by hand and not laundered using a suitable machine wash.  They are not fully dried before being reuse.  A variety of coloured buckets are designated for various areas in the facility and staff are clear on how and when they should use these. Practice does not follow policy, in that mops are left wet after use and the cycle of cleaning does not ensure buckets are cleaned and dried between use.  Presently, there is not a satisfactory process for the laundering of mops and cleaning of floor buckets for effective infection control management in the facility.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Processes and practice for managing the cleaning of mops and buckets are not adequate to ensure effective infection prevention.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Implement suitable cleaning and drying processes for mops and buckets.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1.4.7.3</w:t>
            </w:r>
          </w:p>
          <w:p w:rsidR="00EB7645" w:rsidRPr="00BE00C7" w:rsidP="00BE00C7">
            <w:pPr>
              <w:pStyle w:val="OutcomeDescription"/>
              <w:spacing w:before="120" w:after="120"/>
              <w:rPr>
                <w:rFonts w:cs="Arial"/>
                <w:b w:val="0"/>
                <w:lang w:eastAsia="en-NZ"/>
              </w:rPr>
            </w:pPr>
            <w:r w:rsidRPr="00BE00C7">
              <w:rPr>
                <w:rFonts w:cs="Arial"/>
                <w:b w:val="0"/>
                <w:lang w:eastAsia="en-NZ"/>
              </w:rPr>
              <w:t>Where required by legislation there is an approved evacuation plan.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operated as a residential care facility at its current location for more than thirty-four years. Fire and Emergency New Zealand (FENZ) have stated that they do not hold a record of an approved evacuation plan on file but do note that an approved plan existed in 1987. It is unclear what, if any, changes have occurred to the building since that date, however, the 1987 date is the only date referenced by FENZ.  No evacuation plan information is held by the property owner.  South Care General Manager plans to discuss this further with the Fire Service in the week beginning 13 September 2021.  A satisfactory trial evacuation was conducted by a contracted provider on 13 August 2021.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no record available for a current and approved Fire Evacuation Plan for the facility.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Maintain a record of a current approved Fire Evacuation Plan for the facility.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1.4.7.4</w:t>
            </w:r>
          </w:p>
          <w:p w:rsidR="00EB7645" w:rsidRPr="00BE00C7" w:rsidP="00BE00C7">
            <w:pPr>
              <w:pStyle w:val="OutcomeDescription"/>
              <w:spacing w:before="120" w:after="120"/>
              <w:rPr>
                <w:rFonts w:cs="Arial"/>
                <w:b w:val="0"/>
                <w:lang w:eastAsia="en-NZ"/>
              </w:rPr>
            </w:pPr>
            <w:r w:rsidRPr="00BE00C7">
              <w:rPr>
                <w:rFonts w:cs="Arial"/>
                <w:b w:val="0"/>
                <w:lang w:eastAsia="en-NZ"/>
              </w:rPr>
              <w:t>Alternative energy and utility sources are available in the event of the main supplies failing.</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inspection of the kitchen, accompanied by the chef and a manager, there was no evidence of the management of non-perishable food to be used in the event of an emergency.  It was stated by the manager that the emergency food supply was managed by the chef and held in the kitchen. No evidence was found of purchase, storage, and rotation of sufficient food items to feed the residents and others on site for three days in the event of an emergency. Emergency water supplies on hand are available in the recommended quantities.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chef is charged with managing the emergency food supply, which was stated to be stored in the kitchen storeroom.  Sufficient food for use in an emergency was not sighted during the audit.  The chef stated this is not required as food deliveries can occur twice a day if required.  No evidence was presented of a system to purchase food in suitable quantities or store and manage food for emergency situations.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system in place to purchase, store and rotate sufficient food items for emergency use to meet the needs of the residents for a period of at least three days.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South Care Limited - South Care Rest Home &amp; Hospital</w:t>
    </w:r>
    <w:bookmarkEnd w:id="58"/>
    <w:r>
      <w:rPr>
        <w:rFonts w:cs="Arial"/>
        <w:sz w:val="16"/>
        <w:szCs w:val="20"/>
      </w:rPr>
      <w:tab/>
      <w:t xml:space="preserve">Date of Audit: </w:t>
    </w:r>
    <w:bookmarkStart w:id="59" w:name="AuditStartDate1"/>
    <w:r>
      <w:rPr>
        <w:rFonts w:cs="Arial"/>
        <w:sz w:val="16"/>
        <w:szCs w:val="20"/>
      </w:rPr>
      <w:t>9 September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