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Sunflower Field Trading NZ Limited - Summerville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Sunflower Field Trading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Summerville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2021</w:t>
      </w:r>
      <w:bookmarkEnd w:id="7"/>
      <w:r w:rsidRPr="009418D4">
        <w:rPr>
          <w:rFonts w:cs="Arial"/>
        </w:rPr>
        <w:tab/>
        <w:t xml:space="preserve">End date: </w:t>
      </w:r>
      <w:bookmarkStart w:id="8" w:name="AuditEndDate"/>
      <w:r w:rsidR="00A4268A">
        <w:rPr>
          <w:rFonts w:cs="Arial"/>
        </w:rPr>
        <w:t>29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Summerville Rest Home provides rest home level care for up to 15 residents. On the day of the audit there were 12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the general practitioner and staff. </w:t>
      </w:r>
    </w:p>
    <w:p w:rsidRPr="00A4268A">
      <w:pPr>
        <w:spacing w:before="240" w:line="276" w:lineRule="auto"/>
        <w:rPr>
          <w:rFonts w:eastAsia="Calibri"/>
        </w:rPr>
      </w:pPr>
      <w:r w:rsidRPr="00A4268A">
        <w:rPr>
          <w:rFonts w:eastAsia="Calibri"/>
        </w:rPr>
        <w:t>The managing director manages the business remotely and is supported by the non-clinical manager. The service is overseen by the manager who has been in the role for 28 years. She is supported by a part-time RN who has been in the role for three months. Residents and family members interviewed spoke positively of the services provided at Summerville Rest Home.</w:t>
      </w:r>
    </w:p>
    <w:p w:rsidRPr="00A4268A">
      <w:pPr>
        <w:spacing w:before="240" w:line="276" w:lineRule="auto"/>
        <w:rPr>
          <w:rFonts w:eastAsia="Calibri"/>
        </w:rPr>
      </w:pPr>
      <w:r w:rsidRPr="00A4268A">
        <w:rPr>
          <w:rFonts w:eastAsia="Calibri"/>
        </w:rPr>
        <w:t xml:space="preserve">This certification audit identified areas for improvement relating to notification of incidents, meetings, education, timeframes, care plan interventions and reviews, activities, medication storage and first aid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The staff at Summerville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advocacy services is easily accessible to residents and families. Staff interviewed were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Summerville Rest Home has a documented quality and risk management programme. Quality data is collated for accident/incidents, infection control, internal audits, complaints, and surveys. There is a current business plan in place.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an initial assessment is completed upon admission. The registered nurse is responsible for care plan development with input from residents and family. Risk assessments and the interRAI assessments form the basis of long-term care plans. The general practitioner reviews all residents at least three-monthly. Relatives interviewed stated they were fully informed of any changes in resident condition. Six monthly reviews are performed. </w:t>
      </w:r>
    </w:p>
    <w:p w:rsidRPr="00A4268A" w:rsidP="00621629">
      <w:pPr>
        <w:spacing w:before="240" w:line="276" w:lineRule="auto"/>
        <w:rPr>
          <w:rFonts w:eastAsia="Calibri"/>
        </w:rPr>
      </w:pPr>
      <w:r w:rsidRPr="00A4268A">
        <w:rPr>
          <w:rFonts w:eastAsia="Calibri"/>
        </w:rPr>
        <w:t xml:space="preserve">Medications are administered in line with legislation and current regulations. General practitioners review medication charts three monthly.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A dietitian is available on referral.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Essential contractors are available 24 hours a day. Chemicals are stored in a locked storage cupboard. There are dedicated housekeeping staff. There is a designated laundry, which includes storage of cleaning and laundry chemicals. All laundry is laundered on site by care staff. Documented systems are in place for essential, emergency and security services. The facility has two lounge areas. The main lounge is open plan with a dining area and is adjacent to the kitchen. Residents’ rooms are of sufficient space to allow services to be provided and for the safe use and manoeuvring of mobility aids. Residents can and do bring in their own furnishings for their rooms. Furniture is appropriate to the setting and arranged to allow residents to mobilise. Communal living areas and resident rooms are appropriately heated and ventilated. Residents have access to natural light in their rooms and there is adequate external light in communal areas.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Summerville Rest Home has restraint minimisation and safe practice policies and procedures in place. There were no residents requiring the use of a restraint or enabler. The service is committed to maintaining a restraint-free environment.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suite of infection control policies and guidelines that meet infection control standards which include policies and procedures around Covid-19. The infection control programme and its content and detail are appropriate for the size, complexity and degree of risk associated with the service. The registered nurse is the infection control coordinator. Surveillance data is collected and collated, infection rates are low. Covid-19 is well prepared for with adequate supplies of personal protective equipment sighted.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7</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0"/>
        <w:gridCol w:w="1280"/>
        <w:gridCol w:w="9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one registered nurse (RN), three caregivers and one housekeeper confirmed their familiarity with the Code. Staff have not completed training on the Code in the past 2 years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Informed consent for release of medical information, photograph and outings were present in five resident files reviewed. Resuscitation forms are completed by the competent resident. The general practitioner (GP) makes a medically indicated not for resuscitation decision in consultation with the family for the incompetent resident. Residents and relatives interviewed confirmed that information was provided to enable informed choices and that they were able to decline or withdraw their consent. Resident admission agreements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at the entry to the facility.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are complaint forms available in the service entrance. Information about complaints is provided on admission. Interviews with residents and relatives confirmed an understanding of the complaints process. There have been two complaints made since the last audit, both were received in 2019. Documentation including follow-up meetings, discussions and resolution demonstrates that complaints are being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manager or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Three residents and four relatives interviewed identified they have been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have not completed training on privacy/dignity, abuse, and neglect in the past 2 years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On the day of the audit there was one resident that identified as Māori. The file of resident that identified as Māori , however, a Māori health plan had not been documented (link 1.3.5.2). The service has established links with a local Māori community member, Te Whira Akuhata who provides advice and guidance on cultural matters. Staff interviewed confirmed they are aware of the need to respond appropriately to maintain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that family involvement is encouraged. Staff have not completed training on cultural awareness in the past 2 years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There are policies and procedures to guide the facility to implement the quality management programme. There are a range of policies, procedures, and forms in place. Staffing policies include pre-employment, the requirement to attend orientation and ongoing in-service training. The service has an annual business plan for 2021 in place, including service overview and objectives. The manager is responsible for coordinating the internal audit programme. Monthly staff/quality meetings and six-monthly resident meetings are scheduled to be completed (link 1.2.3.7).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promotes an open-door policy. Residents and family are informed prior to entry of the scope of services and any items they have to pay for that is not covered by the agreement.  Accident/incident forms have a section to indicate if next of kin have been informed (or not) of an accident/incident. There was no documented notification to the next of kin in 14 of 15 accident/incident forms reviewed. Residents and relatives interviewed confirmed that the staff and management are approachable and available. The information pack is available in large print and advised that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Summerville Rest Home provides rest home level care for up to 15 residents. On the day of the audit there were 12 residents, including one resident on a mental health contract and two on ACC contracts. All other residents were on the age-related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Summerville Rest Home is owned by a non-New Zealand registered medical practitioner. He assumes the role of managing director only. The managing director manages the business remotely and is supported by the manager. The service is overseen by the manager who has been at Summerville Rest Home for over 30 years and in the manager role for 20 years. She has a Certificate in Management. She is supported by a part time RN who has been in the role for nine months and works a minimum of 12 hours a week. She has a Bachelor of Nursing. The service has an annual business plan for 2021 in place, including service overview and objectives.</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eight hours of professional development in the past 12 months, including education sessions at the local district health board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that in the event of her temporary absence, the RN fills the role with support from the senior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Summerville Rest Home has a documented quality and risk management programme. There are policies and procedures to guide the facility to implement the quality management programme. Policies are reviewed two-yearly (last reviewed in July 2021) to meet the requirements of the relevant Health and Disability Services Standards 2008. The service has an annual business plan for 2021 in place, including service overview and objectives. Quality data is collated for accident/incidents, infection control, internal audits, complaints, and surveys. Staff/quality meetings are scheduled monthly to ensure staff communication and discuss quality data. There have not been any staff/quality meetings completed for 2021 year to date. Resident meetings are scheduled six-monthly. There have been no resident meetings conducted over the past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annual resident and relative satisfaction survey has been conducted with respondents advising that they are overall satisfied with the care and service they receive. An improvement area was identified and actioned around the laundry service. The service reviews all internal audits six-monthly and action plans are followed up. Corrective actions are completed for any internal audits that are not fully compliant. There is a Health and Safety and risk management system in place including policies to guide practice. There is a current hazard register, which was last reviewed in July 2021. Hazards are documented on the register and have interventions documented to manage the risk. Falls prevention strategies are in place, which include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Fourteen accident/incident forms for the month of June, July and August 2018 were reviewed. The majority document timely review and follow-up (link 1.3.3.3). Neurological observations (Glasgow coma scale report) were documented and completed for two unwitnessed falls with potential head injury. There was no documented evidence that family had been notified for 14 of 15 incidents reviewed (link 1.1.9.1). Discussions with the manager confirmed an awareness of the requirement to notify relevant authorities in relation to essential notifications including section 31 notifications. There have been no section 31 notifications or outbreaks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manager, one RN and three caregivers) were reviewed. The recruitment and staff selection process requires that relevant checks are completed to validate the individual’s qualifications, experience, and suitability for the role. Performance appraisals were current. A current practising certificate was sighted for the RN. The service has an orientation programme in place to provide new staff with relevant information for safe work practice. Staff interviewed were able to describe the orientation process and stated that they believed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and caregivers’ complete competencies relevant to their role such as medications. There is an education planner in place that covers compulsory education requirements over a two-year period. Not all compulsory education has been completed within the required two-year period. Education not completed includes abuse and neglect, cultural awareness, the code, privacy/dignity, sexuality/intimacy, spirituality/counselling, chemical safety, challenging behaviour, dementia and falls prevention. The RN has completed interRAI training and has also attended education sessions at the local DHB. The RN has access to external education through the DHB. There were two caregivers, that had level 3 Careerforce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staff numbers and skills required. Skill mix is reviewed on a regular basis and reviewed in-line with resident numbers. The manager is onsite from 8 am until 4 pm, Monday to Friday and is on-call 24/7 for any non-clinical issues. There is a part-time RN onsite for 12 hours per week or more if required and is also available on-call 24/7 for any clinical issues. The local general practitioner (GP) also provides afterhours care if required and caregivers have access to the local ambulance service. The caregivers, residents and family members interviewed reported that there is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duty on the morning shift, one caregiver on duty on the afternoon shift and one caregiver on the night shift. There is an additional caregiver who covers the ‘tea’ shift from 5 pm to 8 pm. Roster shortages or sickness are covered by casual or off duty staff. There is also a senior caregiver who lives onsite and is available for any assistance if required. There is a cleaner seven days a week from 8.30 am to 11.30 pm and an activities coordinator (role currently vacant) who works Monday to Friday from 10.30 am to 12 pm.</w:t>
            </w:r>
          </w:p>
          <w:p w:rsidR="00EB7645" w:rsidRPr="00BE00C7" w:rsidP="00BE00C7">
            <w:pPr>
              <w:pStyle w:val="OutcomeDescription"/>
              <w:spacing w:before="120" w:after="120"/>
              <w:rPr>
                <w:rFonts w:cs="Arial"/>
                <w:b w:val="0"/>
                <w:lang w:eastAsia="en-NZ"/>
              </w:rPr>
            </w:pPr>
            <w:r w:rsidRPr="00BE00C7">
              <w:rPr>
                <w:rFonts w:cs="Arial"/>
                <w:b w:val="0"/>
                <w:lang w:eastAsia="en-NZ"/>
              </w:rPr>
              <w:t>The caregivers, residents and family members interviewed reported that there is sufficient staff on duty.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his includes information gathered at admission with the involvement of the family. Staff could describe the procedures for maintaining confidentiality of resident records and sign confidentiality statements.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booklet around admission processes and entry to the service. The registered nurse screens all potential residents prior to entry to services to confirm they meet the level of care provided at the facility. All residents are assessed prior to entry by the needs assessment service coordination (NASC) team. Assessments are available to the service on admission to the service. There is an information pack provided to all residents and their families on services available. Residents and or family/whānau are provided with associated information (e.g., information on their rights, the Code, complaints management, advocacy, and the admission agreement). The relatives and residents interviewed stated that they had received the information pack and had received sufficient information prior to and on entry to the service. Residents and relatives interviewed confirmed they received information prior to admission and discussed the admission process and admission agreement with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guidelines for death, discharge, transfer, and follow-up. When transferring, all relevant information is documented and transferred with the resident. Resident transfer information is communicated to the receiving health provider or service. There is documented evidence of family notification for resident transfers, as sighted in the resident’s file who had been transferred to hospital. The ‘yellow envelope’ system is used when residents are transferring to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The RN and caregiver’s complete annual medication competencies and medication education. The RN has a current syringe driver competency. The facility utilises a blister pack system for all medications. The RN checks all medication on arrival from the pharmacy. There were no resident’s self-medicating on the day of the audit. There were no expired drugs on site.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paper-based medication charts were reviewed. All medication charts were legible, and medications were appropriately prescribed. ‘As required’ medications were prescribed appropriately with indications for use documented. Effectiveness of ‘as required’ medications administered were recorded in the progress notes. Allergies were documented, and all charts included photo identification. All long-term medications charts had been reviewed by the GP three monthly. There were no drugs in the medication fridge, however, the temperature of the medication room has not been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by the caregivers who are assigned to cooking duties on the roster. Baking and some food preparation is done by the night staff. There is a four weekly, summer/winter menu in use that had been reviewed by a dietitian in February 2020. A food control plan with an expiry date of February 2022 is in place. The kitchen is clean, tidy and is well equipped. All perishable goods are date labelled. Food is procured from local commercial suppliers and the supermarket. Since the last audit, the kitchen benches have been replaced with stainless steel benches. Fridge and freezer temperatures are recorded daily using food control plan templates. The temperature checks of food on arrival and end-cooked food is recorded.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meal is at midday, and residents have a light meal in the evenings. Meals are served directly from the kitchen to the residents in the dining rooms adjacent. A tray service is available for residents who prefer not to dine in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likes, and dislikes are noted on admission and known to the caregivers. Alternatives are offered. Special diets are accommodated. Care staff have completed safe food handling training during orientation. High calorie diets and supplements are offered for residents with weight loss, if needed. Lip plates and smaller serving plates are available to promote independence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spoke positively about the meals and home baking.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(no beds available) service entry to potential residents should this occur and communicates this to potential residents/family/whānau. Anyone declined entry is referred back to the needs assessors or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embedded the interRAI assessment protocols within its current documentation. InterRAI assessments were evident in printed format in all files. All resident files included a recent interRAI assessment, however not all initial assessments have been completed within timeframes (link 1.3.3.3). Risk assessments are used for falls, and pressure when indicated as sighted in the resident files reviewed. The registered nurse maintains a folder containing a suite of assessments to be used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long-term care plan in place which is linked to the interRAI assessment triggers and outcomes, and risk assessments completed by the registered nurse. The registered nurse utilises an electronic care plan template which is then printed and is available for caregivers to read in the residents’ paper-based file. The GP, allied services, the RN, activity staff, physiotherapist and other visiting health providers write their care notes in the resident file. The care plans were documented for each resident, however, not all care plans reflected residents’ current needs. Caregivers interviewed were knowledgeable regarding individual resident cares. Short term care plans were utilised for acute and short-term needs including infections, and wounds. Residents and relatives interviewed confirmed that resident/family were involved in the development/evaluation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care plans in place. Residents interviewed reported their needs were being met. Family members interviewed stated the care and support met their expectations for their relative. There was documented evidence of relative contact for any changes to resident health status. Continence products are available. Specialist continence advice is available as needed and this could be described by the RN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the RN interviewed, stated there is adequate continence and wound care supplies. Documentation was reviewed for two wounds – one chronic ulcer and one lesion. Both wounds had fully completed assessments, and wound management plans in place. Evaluation of the wounds (including photographs) indicated progression towards healing. There were no pressure injuries. Monitoring charts were in use and examples sighted included (but not limited to), weight and vital signs, blood glucose, pain, food and fluid,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reported they are currently providing activities for residents. There is no set planner in place, and residents choose what they would like to do on the day. During the audit, residents were observed watching quiz programmes on the TV, completing word puzzles, crosswords and reading newspapers. The staff reported the group of residents residing at the facility chose not to participate in group activities, instead prefer completing individual word games and puzzles of their choosing. A group of residents enjoy watching the birds at the bird feeder on the smoking deck at the back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funded by ACC has a caregiver who assists with activities for this resident. Activities include spending time with the resident for a general chat, assisting with puzzles and whatever the resident chooses.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have been documenting any visitors and some activities residents have been involved with which was evident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interviewed reported there had been outings to the community and entertainers visited the facility regularly prior to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activities coordinator was available, each resident had an activity assessment completed shortly after admission, which was reviewed annually, and six-monthly evaluations were completed, however, these have not been evidenced of being reviewed since February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satisfied watching TV programmes of their choosing in their bedrooms or completing word puzzles.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had at times been updated to reflect changes in resident condition. Long term care plans had been reviewed six monthly, relatives and residents interviewed confirmed they are included in care plan reviews. Relatives stated they receive a copy of the care plans, and are invited to provide feedback, however, evidence of resident and relatives input was not always documented, and care plan reviews did not always reflect resident progression towards meeting goals. The GP reviews residents three monthly or when requested if issues arise or their health status changes. The GP was interviewed and stated that the staff communicate appropriately. Short-term care plans were evident for the care and treatment of residents. Short-term care plans are typically used for residents with infections and those who have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occurred, referral documentation is maintained. Residents and/or their family/whānau are involved as appropriate when referral to another service occurs. The registered nurse described the process around interRAI assessments to be completed for significant change in health status requiring a re-assessment of level of care. Relatives interviewed confirmed they were kept fully aware of all referrals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were readily accessible for staff. Chemicals were stored safely. Chemical bottles sighted have correct manufacturer labels. Personal protective clothing is available for staff and seen to be worn by staff when carrying out their duties on the day of audit, however, staff have completed chemical safety training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17 January 2022. The manager coordinates and authorises the contractors to carryout maintenance requests. There is a communication book used for the daily maintenance requests. Corrective actions are documented in the communication book. Electrical equipment has been tested and tagged annually. Medical equipment is calibrated annually. Essential contractors are available 24 hours a day. Hot water temperature monitoring is completed monthly with readings within acceptable ranges.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internal and external ramps on the ground floor, which provides easy access to all areas for residents requiring mobility aids. There is an open plan combined dining area/lounge area and a second lounge area available. There is outdoor seating and shading in place. The grounds are well maintained. There is a safety gate across the driveway. Residents were observed to be moving freely around the facility and to the gardens with the use of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resident communal toilets and a separate toilet for staff and visitors. There are three showers for residents. There is appropriate signage, easy clean flooring and fixtures and handrails appropriately placed. There are privacy locks on the doors on the showers and toilets. Residents interviewed confirmed staff provide the resident with privacy when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are spacious enough to meet the assessed needs of residents. Residents are able to manoeuvre mobility aids around their bed and personal space areas.  All beds are of an appropriate height for the residents. Bedrooms are personalised with the resident’s personal adornments and furniture if the resident wishes. Caregivers interviewed reported that rooms have sufficient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area and main lounge area is open plan. There is a second large lounge at the front of the building where residents can have visitors or spend time with quiet activities (currently used for relatives visiting residents under currently level 2 Covid-19 guidelines). Communal areas are easily accessible. There is adequate space to allow for individual and group activities to occur within the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and the housekeeper incorporate laundry duties into their day. Laundry procedures and cleaning duties are documented. There is a commercial washer and a commercial drier and sink in the laundry. Linen is dried outside on the clothesline where possible. The laundry door is locked to prevent resident entry when staff are not in attendance. Chemicals are stored safely in the manufacturer’s containers in the laundry and in other locked areas. Safety datasheets are readily accessible. Protective clothing (gloves, aprons, and visors) is available for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housekeeper interviewed was knowledgeable around infection control practices and chemical use. The housekeeper uses colour coded disposable cloths for different duties. Effectiveness of the cleaning and laundry service is monitored by the manager through resident and relative feedback, and the internal audit programme. Residents interviewed were satisfied with the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has been updated and approved by the New Zealand Fire Service; letter dated 13 September 2021. There is an emergency and business continuity plan in place to ensure health, civil defence and other emergencies are included. Six-monthly fire evacuation practice documentation was sighted, with the last fire evacuation drill occurring on 26 August 2021. Fire training and security situations are part of orientation of new staff and include competency assessments. There are adequate supplies in the event of a civil defence emergency including sufficient food, water (bottled water supply), blankets and alternate gas cooking (BBQ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and pandemic outbreak supplies available, checked six-monthly. There is a first aid kit kept in the kitchen and nurses’ station. Emergency equipment is available at the facility. Short-term backup power for emergency lighting is in place. A first aid trained staff member is required to be on duty 24/7. Staff first aid certificates expired on 7 August 2021. The RN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have an external window to allow natural lighting and ventilation. There are oil heaters in residents’ rooms so they can control the temperatures of their rooms. There are panel heaters in the corridors and an air conditioner/heat pump in the main residents’ lounge. All areas have external windows. The residents and relatives confirmed the temperature of the facility is maintained at a comfortable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infection control coordinator. A current job description is on file and has been signed. The infection prevention and control (IPC) programme is appropriate for the size and complexity of the service. The facility has a suite of infection prevention and control policies. The infection prevention and control practices are authorised and reviewed annually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have been unwell. Influenza and Covid-19 vaccines are offered to residents and staff. There are hand sanitisers throughout the facility and adequate supplies of personal protective equipment. There have been no outbreaks since the previous audit. All visitors and contractors to the facility are required to complete a wellness declaration and sign the register for contact tracing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is managed by the infection control coordinator (RN) who has been in the role since March 2021. The infection control coordinator has undertaken online infection control training. The infection control coordinator has access to infection control personnel within the district health board, laboratory services and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has been well prepared for with the implementation of policies to include Covid-19 precautions. A resource folder is in place and the pandemic plan has been updated in conjunction with the DHB, which includes an emergency information folder with relevant resident information. Adequate supplies of masks, gloves, gowns, hand sanitiser and visors were sighted during the audit. Education and information have been provided around the use of personal protective equipment and correct procedure for donning and doffing personal protective equipment. Staff interviewed were familiar with infection control procedures. Infection control is discussed at handover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the infection control programme, responsibilities and oversight, training, and education of staff. The policies have been reviewed annually. The Covid-19 policy has been obtained from the Health, Quality and Safety commission.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describes education provided to staff around standard precautions and hand washing during the orientation process. Questionnaires are provided for staff to complete around handwashing, and standard precautions, then a practical session is held to supervise technique. Extra training, videos and posters were provided to staff around donning and doffing personal protective equipment. A record of attendance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Caregivers interviewed were aware of infection rates. Systems are in place and are appropriate to the size and complexity of the facility.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Summerville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8"/>
        <w:gridCol w:w="1280"/>
        <w:gridCol w:w="4262"/>
        <w:gridCol w:w="3512"/>
        <w:gridCol w:w="19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 forms have a section to indicate if next of kin have been informed (or not) of an accident/incident. Only one of 15 incident forms reviewed identified that family had been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reviewed for June, July, and August 2021. There was no documented notification to the next of kin for 14 of 15 accident/incident forms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documentation reflects that next of kin are notified of any resident incidents/accidents or if not notified, the reason why should be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Staff/quality meetings are scheduled monthly and resident meetings are scheduled six-monthly; however meetings have not occurred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staff/quality meetings or resident meetings documented as held for 2021 year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meetings are held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compulsory education requirements over a two-year period; however not all required training has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compulsory training included in the two-yearly education planner has been completed. Compulsory training not completed includes abuse and neglect, cultural awareness, the code, privacy/dignity, sexuality/intimacy, spirituality/counselling, chemical safety, challenging behaviour, dementia and falls prevention.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compulsory staff training included in the two-yearly education planner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charts were legible, and medications were administered as prescribed in the medication charts. Signing sheets were fully completed and efficacy of ‘as required’ medications has been recorded. All medications no longer required are returned to the pharmacy. Medications are stored securely, however, the temperature of the medication room has not been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of the medication room has not been recorded to evidence the temperature is maintained at less than 25 degrees.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medication room temperatures are recorded daily.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Risk assessments and interRAI assessments are completed for all residents, however not all interRAI assessments were completed within expected timeframes. The caregivers document progress notes at the end of each shift, however, the registered nurse documentation does not always reflect follow-up of incidents.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of six resident files reviewed did not have interRAI assessments completed or reviewed within expected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Progress notes for two residents who have had an incident report completed did not evidence follow-up by the registered nurse.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interRAI assessments are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progress notes document RN follow-up of incidents.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had a long-term care plan in place, which is electronic and templated. The registered nurse adapts the care plans around residents’ needs, and then prints a copy for the paper-based resident’s file. Short term care plans were sighted for short term/acute needs such as infections and wounds, however, not all care plan interventions were reflective of current residents’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resident has had a decline in condition which was well documented in the progress notes, however, the extra support and assistance the resident required was not documented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resident identified as Māori and is Catholic. There were no interventions included in the cultural/spiritual section of the care plan around resident preferences or affiliations, or spiritual practices including whether the priest visited for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resident has a diagnosis of dementia and is obese. There were no individualised strategies documented around the management of behaviours, and no interventions around the management of obesity.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there are individualised interventions documented to meet all resident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no employed activities coordinator and the manager reported they are currently recruiting; however, responses have been low. Three of five resident files reviewed had an activities assessment and plan completed, however reviews had not been documented six-monthly. Two residents admitted to the service in 2021 have no activity assessment or plan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documentation of daily activities that have taken place. </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activities assessment or plan documented for two of five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Three of five residents did not have a six-monthly review of their activities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there is a record of all resident activities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ii-iii) Ensure all residents have a current activity assessment, and plan documented tailored to residents’ preferences, which is reviewed at least six-monthly.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care plan reviews have occurred six-monthly; however documentation does not reflect resident and/or relatives input or resident progression towards meeting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Care plan reviews in all five files reviewed did not reflect resident and/or relative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Documentation does not reflect resident progression towards meeting goals in all five files .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care plan review documents resident, relative input and evidences residents’ progression towards meeting care plan goals.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business continuity plan in place to ensure health, civil defence and other emergencies are included. A first aid trained staff member is required to be on duty 24/7.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always a first aid trained staff member on duty 24/7 as staff first aid certificates expired on 7 August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first aid trained staff member on duty 24/7 and that staff have current first aid certificates.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Sunflower Field Trading NZ Limited - Summerville Rest Home</w:t>
    </w:r>
    <w:bookmarkEnd w:id="58"/>
    <w:r>
      <w:rPr>
        <w:rFonts w:cs="Arial"/>
        <w:sz w:val="16"/>
        <w:szCs w:val="20"/>
      </w:rPr>
      <w:tab/>
      <w:t xml:space="preserve">Date of Audit: </w:t>
    </w:r>
    <w:bookmarkStart w:id="59" w:name="AuditStartDate1"/>
    <w:r>
      <w:rPr>
        <w:rFonts w:cs="Arial"/>
        <w:sz w:val="16"/>
        <w:szCs w:val="20"/>
      </w:rPr>
      <w:t>29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