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Princes Court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Princes Court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October 2021</w:t>
      </w:r>
      <w:bookmarkEnd w:id="7"/>
      <w:r w:rsidRPr="009418D4">
        <w:rPr>
          <w:rFonts w:cs="Arial"/>
        </w:rPr>
        <w:tab/>
        <w:t xml:space="preserve">End date: </w:t>
      </w:r>
      <w:bookmarkStart w:id="8" w:name="AuditEndDate"/>
      <w:r w:rsidR="00A4268A">
        <w:rPr>
          <w:rFonts w:cs="Arial"/>
        </w:rPr>
        <w:t>12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Princes Court Lifecare provides dementia rest home level care for up to 35 residents.</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one family member, managers, staff, and a general practitioner.</w:t>
      </w:r>
    </w:p>
    <w:p w:rsidRPr="00A4268A">
      <w:pPr>
        <w:spacing w:before="240" w:line="276" w:lineRule="auto"/>
        <w:rPr>
          <w:rFonts w:eastAsia="Calibri"/>
        </w:rPr>
      </w:pPr>
      <w:r w:rsidRPr="00A4268A">
        <w:rPr>
          <w:rFonts w:eastAsia="Calibri"/>
        </w:rPr>
        <w:t>The three previous corrective actions relating to first aid certificates, staff awareness of handling chemicals, and worn dining and lounge furniture have been addressed.</w:t>
      </w:r>
    </w:p>
    <w:p w:rsidRPr="00A4268A">
      <w:pPr>
        <w:spacing w:before="240" w:line="276" w:lineRule="auto"/>
        <w:rPr>
          <w:rFonts w:eastAsia="Calibri"/>
        </w:rPr>
      </w:pPr>
      <w:r w:rsidRPr="00A4268A">
        <w:rPr>
          <w:rFonts w:eastAsia="Calibri"/>
        </w:rPr>
        <w:t>There were no areas identified as requiring improvement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Heritage Lifecare is the governing body and is responsible for the services provided at this facility. The mission, vision, and values of the organisation are documented and communicated to all concerned. There are systems in place for monitoring the services provided, including regular monthly reporting by the care home and village manager to the Heritage national office.</w:t>
      </w:r>
    </w:p>
    <w:p w:rsidRPr="00A4268A">
      <w:pPr>
        <w:spacing w:before="240" w:line="276" w:lineRule="auto"/>
        <w:rPr>
          <w:rFonts w:eastAsia="Calibri"/>
        </w:rPr>
      </w:pPr>
      <w:r w:rsidRPr="00A4268A">
        <w:rPr>
          <w:rFonts w:eastAsia="Calibri"/>
        </w:rPr>
        <w:t>The facility is managed by an experienced and qualified care home and village manager who is a registered nurse with aged care experience. They have been in this position for two weeks. A registered nurse is responsible for the oversight of the clinical services in the facility.</w:t>
      </w:r>
    </w:p>
    <w:p w:rsidRPr="00A4268A">
      <w:pPr>
        <w:spacing w:before="240" w:line="276" w:lineRule="auto"/>
        <w:rPr>
          <w:rFonts w:eastAsia="Calibri"/>
        </w:rPr>
      </w:pPr>
      <w:r w:rsidRPr="00A4268A">
        <w:rPr>
          <w:rFonts w:eastAsia="Calibri"/>
        </w:rPr>
        <w:t>There is an internal audit programme, risks are identified, and a hazard register is in place. Adverse events are documented on accident/incident forms. Facility meetings are held where there is reporting on various clinical indicators, quality and risk issues, and discussion on identified trends. Graphs of clinical indicators are available for staff to view along with meeting minutes.</w:t>
      </w:r>
    </w:p>
    <w:p w:rsidRPr="00A4268A">
      <w:pPr>
        <w:spacing w:before="240" w:line="276" w:lineRule="auto"/>
        <w:rPr>
          <w:rFonts w:eastAsia="Calibri"/>
        </w:rPr>
      </w:pPr>
      <w:r w:rsidRPr="00A4268A">
        <w:rPr>
          <w:rFonts w:eastAsia="Calibri"/>
        </w:rPr>
        <w:t>There are policies and procedures on human resources management. A mandatory education programme is provided for staff.</w:t>
      </w:r>
    </w:p>
    <w:p w:rsidRPr="00A4268A">
      <w:pPr>
        <w:spacing w:before="240" w:line="276" w:lineRule="auto"/>
        <w:rPr>
          <w:rFonts w:eastAsia="Calibri"/>
        </w:rPr>
      </w:pPr>
      <w:r w:rsidRPr="00A4268A">
        <w:rPr>
          <w:rFonts w:eastAsia="Calibri"/>
        </w:rPr>
        <w:t>There is a documented rationale for determining staffing levels and skill mixes in order to provide safe service delivery that is based on best practice.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 xml:space="preserve">Medicines are safely managed and administered by staff who are competent to do so. </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as per the registered food control plan.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was a current building warrant of fitness displayed.</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w:t>
      </w:r>
    </w:p>
    <w:p w:rsidRPr="00A4268A">
      <w:pPr>
        <w:spacing w:before="240" w:line="276" w:lineRule="auto"/>
        <w:rPr>
          <w:rFonts w:eastAsia="Calibri"/>
        </w:rPr>
      </w:pPr>
      <w:r w:rsidRPr="00A4268A">
        <w:rPr>
          <w:rFonts w:eastAsia="Calibri"/>
        </w:rPr>
        <w:t xml:space="preserve">Fixtures, fittings, and floor and wall surfaces are made of acceptable materials for this environment.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There were no restraints or enablers in use at the time of audit. </w:t>
      </w:r>
    </w:p>
    <w:p w:rsidRPr="00A4268A">
      <w:pPr>
        <w:spacing w:before="240" w:line="276" w:lineRule="auto"/>
        <w:rPr>
          <w:rFonts w:eastAsia="Calibri"/>
        </w:rPr>
      </w:pPr>
      <w:r w:rsidRPr="00A4268A">
        <w:rPr>
          <w:rFonts w:eastAsia="Calibri"/>
        </w:rPr>
        <w:t>Staff receive training including all required aspects of restraint and enablers use, alternatives to restraint, and dealing with challenging behaviours. Staff demonstrated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from the local district health board, infection control and prevention nurse specialists when needed</w:t>
      </w:r>
    </w:p>
    <w:p w:rsidRPr="00A4268A">
      <w:pPr>
        <w:spacing w:before="240" w:line="276" w:lineRule="auto"/>
        <w:rPr>
          <w:rFonts w:eastAsia="Calibri"/>
        </w:rPr>
      </w:pPr>
      <w:r w:rsidRPr="00A4268A">
        <w:rPr>
          <w:rFonts w:eastAsia="Calibri"/>
        </w:rPr>
        <w:t>Aged care specific infection surveillance is undertaken, and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26"/>
        <w:gridCol w:w="1280"/>
        <w:gridCol w:w="96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complaints management are compliant with Right 10 of the Code of Health and Disability Services Consumers’ Rights (the Code). Systems are in place that ensure residents' families are advised on entry to the facility of the complaint process and the Code. The complaint forms are displayed and accessible at the entrance of the facility. Staff interviews confirmed their awareness of the complaints processes. The family member interviewed demonstrated an understanding and awareness of these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three complaints have been received over the past year and that actions taken, through to an agreed resolution, are documented and completed within the timeframes. Action plans showed any required follow up and improvements have been made where possible. The care home and village manager (CHVM) is responsible for complaints management and follow-up.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complaints with other external agencies.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family member interviewed stated they were kept well informed about any changes to 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district health board (DHB) or Interpreting New Zealand when required. This information is also provided to families as part of the information/admission pack.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Princes Court Lifecare (Princes Court) is part of Heritage Lifecare Limited (Heritage). The Heritage management team provides support to the facility with the regional quality manager providing support during this on-site audit. The business care home and village manager (CHVM) provide the executive management team with monthly progress against identified indicators. Heritage has an overarching business plan, and Princes Court has a business plan specific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Posters observed at the entrance of the facility and information booklets are available for staff and family and include the organisation’s mission statement, values, and goals.</w:t>
            </w:r>
          </w:p>
          <w:p w:rsidR="00EB7645" w:rsidRPr="00BE00C7" w:rsidP="00BE00C7">
            <w:pPr>
              <w:pStyle w:val="OutcomeDescription"/>
              <w:spacing w:before="120" w:after="120"/>
              <w:rPr>
                <w:rFonts w:cs="Arial"/>
                <w:b w:val="0"/>
                <w:lang w:eastAsia="en-NZ"/>
              </w:rPr>
            </w:pPr>
            <w:r w:rsidRPr="00BE00C7">
              <w:rPr>
                <w:rFonts w:cs="Arial"/>
                <w:b w:val="0"/>
                <w:lang w:eastAsia="en-NZ"/>
              </w:rPr>
              <w:t>The CHVM is responsible for the overall management of the service and has been in this role for two weeks. The CHVM is a registered nurse (RN) and has experience in the management of residential care facilities. The required authorities have been informed of the appointment of the CHVM.</w:t>
            </w:r>
          </w:p>
          <w:p w:rsidR="00EB7645" w:rsidRPr="00BE00C7" w:rsidP="00BE00C7">
            <w:pPr>
              <w:pStyle w:val="OutcomeDescription"/>
              <w:spacing w:before="120" w:after="120"/>
              <w:rPr>
                <w:rFonts w:cs="Arial"/>
                <w:b w:val="0"/>
                <w:lang w:eastAsia="en-NZ"/>
              </w:rPr>
            </w:pPr>
            <w:r w:rsidRPr="00BE00C7">
              <w:rPr>
                <w:rFonts w:cs="Arial"/>
                <w:b w:val="0"/>
                <w:lang w:eastAsia="en-NZ"/>
              </w:rPr>
              <w:t>The CHVM oversees two facilities in the region and is supported by an RN who is responsible for the oversight of clinical services. The RN has been in the position for four months and has experience in aged residential care. The position of a clinical services manager (CSM) has been advertised; no applicant had been appointed at the time of audit. Another regional CSM and the regional quality manager have been providing additional onsite support for the CHVM.</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35 residents, with 32 beds occupied on the day of audit.  This included 35 residents requiring dementia rest home level care, with two under 65 years of 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Princes Court uses the Heritage quality and risk management framework that is documented to guide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organisational policies and procedures to support service delivery, including reference to the interRAI long-term care facility (LTCF) assessment tool and process. Policies included references to current best practice and legislative requirements. New and revised policies are introduced to staff at meetings and policy updates are also presented as part of relevant in-service education. Staff interviewed confirmed that they are alerted to new and revised policies and receive opportunities to read and understand the policies.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complaints, review of incidents and accidents, key performance indicators and implementation of an audit programme. Clinical indicators are collated monthly and benchmarked against other Heritage facilities by the national support office personal.</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is documented and implemented as scheduled. Internal audits cover all aspects of the service and are completed by a senior health care assistant (HCA). Audit data is collected, collated, and analysed at the facility. Results are reported on the electronic system which can be viewed by the Heritage national support office. Interviewed staff reported that they are kept informed of audit activities and results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for families are completed as part of the internal audit programme on a six-monthly basis. Interviews with staff, and family confirmed a satisfaction survey was completed. The May 2021 survey had been collated and analysed and communicated to staff and family, as evidenced in meeting minutes and interviews. An area identified as improved relates to residents' personal clothing. The previous facility manager had acknowledged the issue and an action plan was developed. It was identified that this requires ongoing monitoring.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are conducted, for example, staff and quality initiative meetings, RN meetings, and residents’ meetings. Minutes of meetings evidenced communication with staff around aspects of quality improvement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Princes Court has a risk management programme in place. Health and safety policies and procedures are documented along with a hazard management programme. There was evidence of hazard identification forms completed when a hazard was identified. The CHVM is responsible for maintaining the hazard register and is familiar with the Health and Safety at Work Act (2015).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understood the adverse event reporting process and were able to describe the importance of recording ‘near misses’. Staff are documenting adverse, unplanned, or untoward events on the accident/incident form. Incident/accident forms are completed by staff who either witnessed an adverse event or were the first to respond. Accident and incident forms are reviewed by the RN and signed off when completed. Neurological observations and falls risk assessments are completed following accidents/incidents as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comply with essential notification reporting, for example, health and safety, human resources, and infection control. The CHVM is aware of situations in which the service would need to report and notify statutory authorities, including police attending the facility, unexpected deaths, sentinel events, notification of pressure injuries, infectious disease outbreaks, and changes in key clinical managers.  </w:t>
            </w:r>
          </w:p>
          <w:p w:rsidR="00EB7645" w:rsidRPr="00BE00C7" w:rsidP="00BE00C7">
            <w:pPr>
              <w:pStyle w:val="OutcomeDescription"/>
              <w:spacing w:before="120" w:after="120"/>
              <w:rPr>
                <w:rFonts w:cs="Arial"/>
                <w:b w:val="0"/>
                <w:lang w:eastAsia="en-NZ"/>
              </w:rPr>
            </w:pPr>
            <w:r w:rsidRPr="00BE00C7">
              <w:rPr>
                <w:rFonts w:cs="Arial"/>
                <w:b w:val="0"/>
                <w:lang w:eastAsia="en-NZ"/>
              </w:rPr>
              <w:t>Thirty-one section 31s notifications have been completed to notify authorities. These are related to:</w:t>
            </w:r>
          </w:p>
          <w:p w:rsidR="00EB7645" w:rsidRPr="00BE00C7" w:rsidP="00BE00C7">
            <w:pPr>
              <w:pStyle w:val="OutcomeDescription"/>
              <w:spacing w:before="120" w:after="120"/>
              <w:rPr>
                <w:rFonts w:cs="Arial"/>
                <w:b w:val="0"/>
                <w:lang w:eastAsia="en-NZ"/>
              </w:rPr>
            </w:pPr>
            <w:r w:rsidRPr="00BE00C7">
              <w:rPr>
                <w:rFonts w:cs="Arial"/>
                <w:b w:val="0"/>
                <w:lang w:eastAsia="en-NZ"/>
              </w:rPr>
              <w:t>- the recent appointment of the care home and village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previous temporary manager of the facility by the regional quality manger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one resident fall that required admission to hospital </w:t>
            </w:r>
          </w:p>
          <w:p w:rsidR="00EB7645" w:rsidRPr="00BE00C7" w:rsidP="00BE00C7">
            <w:pPr>
              <w:pStyle w:val="OutcomeDescription"/>
              <w:spacing w:before="120" w:after="120"/>
              <w:rPr>
                <w:rFonts w:cs="Arial"/>
                <w:b w:val="0"/>
                <w:lang w:eastAsia="en-NZ"/>
              </w:rPr>
            </w:pPr>
            <w:r w:rsidRPr="00BE00C7">
              <w:rPr>
                <w:rFonts w:cs="Arial"/>
                <w:b w:val="0"/>
                <w:lang w:eastAsia="en-NZ"/>
              </w:rPr>
              <w:t>- 28 related to the behaviour of residents. Investigations of each incident was completed. Analysis of the data noted a significant increase since Covid-19 restrictions and lock down of the facility resulting in the reduction of the number of times the residents can leave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A sample of staff records reviewed confirmed the organisation’s policies are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There are systems in place to ensure that annual practising certificates are current. Current certificates were evidenced in reviewed records for all staff and contractors that required them.</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documentation sighted included necessary components of the role. Health care assistants (HCAs) interviewed identified they are paired with a senior HCA until they demonstrate competency on specific tasks, such as hand hygiene or moving and handling. Staff interviewed reported that the orientation process prepared them well for their role. Staff records reviewed showed consistent documentation of completed staff orientation.</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mandatory annual education and training module/schedule. The mandatory study days of continuing education include infection control, restraint/enabler use, moving, and handling. There are systems and processes in place to remind staff of the required mandatory modules and competencies training dates. Staff education records evidenced the ongoing training and education completed. Interviews with staff confirmed they received relevant education to their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personal were identified as being interRAI competent. This included the CHVM, RN, and enrolled nurse (EN). </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also showed consistent documentation of annual performance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meet contractual requirements. An RN is on call after hours and on the weekends. Adequate on-site RN cover is provided five days a week. The RN is supported by sufficient senior HCAs and a part-time enrolled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in place for determining service provider levels and skill mix to provide safe service delivery. Rosters are completed on an electronic system by the administrator and overseen by the CHVM. Rosters sighted reflected that staffing levels meet residents’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The family member interviewed reported staff provide residents with adequate care. Health care assistants (HCA) reported there are adequate staff available and that they can manage their work.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roster records the staff member's first-aid certificate. Observation and review of a four-week roster cycle confirmed at least one staff member on duty has a current first-aid certificate. The previous corrective action relating to not all shifts had a person with a first-aid certificate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rooms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and verbal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No resident is self-administering medications at the time of audit.  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kitchen team, and is in line with recognised nutritional guidelines for older people. The menu follows summer and winter patterns and has been reviewed by a qualified dietitian within the last two years, last on 18 May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2 March 2021 by the Ashburton District Council.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Staff have access to food and fluids for the residents after hours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satisfaction surveys.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especially when some of the residents present with behaviours that challenge.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trained diversional therapist holding the national Certificate in Diversional Therapy. This person is a member of the New Zealand Society of Diversional and Recreational Therapy. There are also two activity assistants. Volunteers, when not in COVID-19 restrictions, assist with regular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events are offered. Residents and families/whānau are involved in evaluating and improving the programme through satisfaction surveys and resident/family meetings when not in COVID-19 restricted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specific to the needs and abilities of the people living there. Activities are offered at times when residents are most physically active and/or restless including having the activity staff working on weekends and evenings. There is a 24 hour activity programme seen in each resident’s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challenging behaviours, infections and wounds. When necessary, and for unresolved problems, long term care plans are added to and updated. Family member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the management of waste and hazardous substances. The supplier of chemicals has conducted staff training and education on the use of chemicals. Safety data sheets were available and accessible for staff. Staff reported they have received training and education to ensure the safe and appropriate handling of waste and hazardous substances.</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appropriate to the risks associated with waste or hazardous substances being handled are provided and were being used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reported the risks of handling chemicals and the importance of referring to the safety data sheets before cleaning a spill. The previous corrective action related to household staff awareness of the risks of handling chemicals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of fitness was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access to lounges, dining areas, and sitting areas/alcoves. Residents were observed moving freely within these areas. </w:t>
            </w:r>
          </w:p>
          <w:p w:rsidR="00EB7645" w:rsidRPr="00BE00C7" w:rsidP="00BE00C7">
            <w:pPr>
              <w:pStyle w:val="OutcomeDescription"/>
              <w:spacing w:before="120" w:after="120"/>
              <w:rPr>
                <w:rFonts w:cs="Arial"/>
                <w:b w:val="0"/>
                <w:lang w:eastAsia="en-NZ"/>
              </w:rPr>
            </w:pPr>
            <w:r w:rsidRPr="00BE00C7">
              <w:rPr>
                <w:rFonts w:cs="Arial"/>
                <w:b w:val="0"/>
                <w:lang w:eastAsia="en-NZ"/>
              </w:rPr>
              <w:t>Furniture is appropriate to the setting and residents’ needs. The facility has recently replaced all dining room and lounge furniture. The corrective action related to dining and lounge furniture being worn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manager/quality, IPC committee and the care home and village manager. Data is benchmarked externally against other facilities in the company and graphed.  Benchmarking has provided assurance that infection rates in the facility are generally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There has been no recent infection outbreak events. However, the process for management of an event was explained.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RN is the restraint coordinator and provides support and oversight for enabler and restraint management in the facility. The RN was familiar with the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both a restraint and enabler-free facility. The RN was not aware when restraint was last used. The register notes no restraint or enabler use for the past 12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explained restraint is used as a last resort when all alternatives have been explored. This was evident from interviews with staff who are actively involved in the ongoing process of restraint minimisation. </w:t>
            </w:r>
          </w:p>
          <w:p w:rsidR="00EB7645" w:rsidRPr="00BE00C7" w:rsidP="00BE00C7">
            <w:pPr>
              <w:pStyle w:val="OutcomeDescription"/>
              <w:spacing w:before="120" w:after="120"/>
              <w:rPr>
                <w:rFonts w:cs="Arial"/>
                <w:b w:val="0"/>
                <w:lang w:eastAsia="en-NZ"/>
              </w:rPr>
            </w:pPr>
            <w:r w:rsidRPr="00BE00C7">
              <w:rPr>
                <w:rFonts w:cs="Arial"/>
                <w:b w:val="0"/>
                <w:lang w:eastAsia="en-NZ"/>
              </w:rPr>
              <w:t>If any restraint or enablers used it would be brought up at all quality and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Princes Court Lifecare</w:t>
    </w:r>
    <w:bookmarkEnd w:id="58"/>
    <w:r>
      <w:rPr>
        <w:rFonts w:cs="Arial"/>
        <w:sz w:val="16"/>
        <w:szCs w:val="20"/>
      </w:rPr>
      <w:tab/>
      <w:t xml:space="preserve">Date of Audit: </w:t>
    </w:r>
    <w:bookmarkStart w:id="59" w:name="AuditStartDate1"/>
    <w:r>
      <w:rPr>
        <w:rFonts w:cs="Arial"/>
        <w:sz w:val="16"/>
        <w:szCs w:val="20"/>
      </w:rPr>
      <w:t>12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