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Birchleigh Management Limited - Birchleigh Residential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Birchleigh Management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Birchleigh Residential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September 2021</w:t>
      </w:r>
      <w:bookmarkEnd w:id="7"/>
      <w:r w:rsidRPr="009418D4">
        <w:rPr>
          <w:rFonts w:cs="Arial"/>
        </w:rPr>
        <w:tab/>
        <w:t xml:space="preserve">End date: </w:t>
      </w:r>
      <w:bookmarkStart w:id="8" w:name="AuditEndDate"/>
      <w:r w:rsidR="00A4268A">
        <w:rPr>
          <w:rFonts w:cs="Arial"/>
        </w:rPr>
        <w:t>24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Birchleigh Residential Care Centre is certified to provide rest home, dementia, and hospital/geriatric level care for up to 83 residents. On the day of audit, there were 83 residents. The service is overseen by a chief executive officer who reports to a Board of Directors. The facility is managed by a service manager/registered nurse (RN) and each unit is managed by an experienced nurse manager/RN.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service standards and the district health board contract. The audit process included a review of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The service has an established quality and risk management system. Residents, families, and the general practitioner interviewed commented positively on the standard of care and services provided.</w:t>
      </w:r>
    </w:p>
    <w:p w:rsidRPr="00A4268A">
      <w:pPr>
        <w:spacing w:before="240" w:line="276" w:lineRule="auto"/>
        <w:rPr>
          <w:rFonts w:eastAsia="Calibri"/>
        </w:rPr>
      </w:pPr>
      <w:r w:rsidRPr="00A4268A">
        <w:rPr>
          <w:rFonts w:eastAsia="Calibri"/>
        </w:rPr>
        <w:t>The one shortfall identified as part of the previous audit has been addressed around progress note documentation.</w:t>
      </w:r>
    </w:p>
    <w:p w:rsidRPr="00A4268A">
      <w:pPr>
        <w:spacing w:before="240" w:line="276" w:lineRule="auto"/>
        <w:rPr>
          <w:rFonts w:eastAsia="Calibri"/>
        </w:rPr>
      </w:pPr>
      <w:r w:rsidRPr="00A4268A">
        <w:rPr>
          <w:rFonts w:eastAsia="Calibri"/>
        </w:rPr>
        <w:t>This audit has identified one area requiring improvement around the staff orientation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including any acute changes or incidents. Complaints processes are implemented and managed in line with the Health and Disability Commissioner’s Code of Health and Disability Consumers’ Rights.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rest home, hospital, and dementia level residents. Goals are documented for the service with evidence of regular reviews. Quality and risk management programmes are embedded in practice.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established in accordance with good employment practice. Ongoing education and training are in place, which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each stage of service provision. The registered nurses assesses and reviews residents' needs when health changes against, outcomes and goals. Resident files included: medical notes and notes of other visiting allied health professionals. Residents interviewed confirmed they were involved in the care planning and review process.</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group programme is varied and includes outings and community involvement. </w:t>
      </w:r>
    </w:p>
    <w:p w:rsidRPr="00A4268A" w:rsidP="00621629">
      <w:pPr>
        <w:spacing w:before="240" w:line="276" w:lineRule="auto"/>
        <w:rPr>
          <w:rFonts w:eastAsia="Calibri"/>
        </w:rPr>
      </w:pPr>
      <w:r w:rsidRPr="00A4268A">
        <w:rPr>
          <w:rFonts w:eastAsia="Calibri"/>
        </w:rPr>
        <w:t>The service uses an electronic medication system. Staff who are responsible for the administration of medicines, complete annual education, and medication competencies. The general practitioner reviews medications three-monthly.</w:t>
      </w:r>
    </w:p>
    <w:p w:rsidRPr="00A4268A" w:rsidP="00621629">
      <w:pPr>
        <w:spacing w:before="240" w:line="276" w:lineRule="auto"/>
        <w:rPr>
          <w:rFonts w:eastAsia="Calibri"/>
        </w:rPr>
      </w:pPr>
      <w:r w:rsidRPr="00A4268A">
        <w:rPr>
          <w:rFonts w:eastAsia="Calibri"/>
        </w:rPr>
        <w:t xml:space="preserve">All meals are prepared by an external contractor. Individual and special dietary needs are catered, and alternative options are available for residents with dislikes. A dietitian has reviewed the menu. Residents interviewed responded that their likes and dislikes are catered for. There are additional snacks available.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are available along with product safety charts. Fire checks are conducted six-monthly by an external provider in line with the facility’s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 restraint coordinator/nurse manager maintains a register. Staff receive training around restraint minimisation and the management of challenging behaviours. During the audit, three residents were using restraints and one resident was using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There is a monthly surveillance programme, where infections are collated, analysed, and trended with previous data. Where trends are identified, actions are implemented to reduce infections. The infection surveillance results are reported at the staff meetings and management quality meetings. Evidence is seen of education and staff involvement with any infections that are identified during the surveillance programme. Covid-19 prevention strategies have been implemented.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68"/>
        <w:gridCol w:w="1280"/>
        <w:gridCol w:w="101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Each of the three units (rest home, hospital, and dementia) have the complaints policy posted in a visible area with complaints forms and advocacy information nearby. Information about complaints is provided on admission. Interviews with seven residents (three hospital, four rest home) and relatives confirmed their understanding of the complaints process. Interviews with five managers (chief executive officer, one service manager, three nurse managers) and fourteen staff (four healthcare assistants (two hospital, one rest home, one dementia), four RNs (three hospital one rest home), one kitchen hand, two contracted kitchen staff, three activities staff (one diversional therapist, two activities coordinators) confirmed their understanding of the complaints reporting process.</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includes written and verbal complaints, dates and actions taken. Complaints lodged since the previous audit were reviewed (one rest home, three dementia, no hospital). There was evidence of complaints being acknowledged, investigated, and resolved. Time frames meet the Health and Disability Commissioner’s (HDC) guidelines for responding to a complaint.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lodged complaints being linked to the quality and risk management system. Staff are kept informed.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documenting incidents. All 20 incidents reviewed met this requirement. Interviews with six relatives (two rest home, one hospital, three dementia) confirmed they are notified following a change of health status of their family member and/or any accident or incident.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welcomed on entry to Birchleigh and are given time and explanation about services and procedures. Residents and family are advised in writing of their eligibility and the process to become a subsidised resident should they wish to do so. There is an interpreter policy in place and contact details of interpreters are available. Family and staff are used in the first instance.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Birchleigh Management Limited (Birchleigh) is certified to provide rest home, hospital (geriatric and medical) and dementia level care for up to 83 residents. On the day of audit, the facility was at full occupancy with 83 residents (34 rest home, 25 hospital and 24 dementia). There are no designated dual-purpose rooms although special approval has been granted by the DHB to place a married couple (one rest home and one hospital) in a double room with a dedicated ensuite in the hospital wing. Two residents (one rest home, one hospital) are funded by ACC. All remaining residents were under the age-related residential care contract (ARCC). </w:t>
            </w:r>
          </w:p>
          <w:p w:rsidR="00EB7645" w:rsidRPr="00BE00C7" w:rsidP="00BE00C7">
            <w:pPr>
              <w:pStyle w:val="OutcomeDescription"/>
              <w:spacing w:before="120" w:after="120"/>
              <w:rPr>
                <w:rFonts w:cs="Arial"/>
                <w:b w:val="0"/>
                <w:lang w:eastAsia="en-NZ"/>
              </w:rPr>
            </w:pPr>
            <w:r w:rsidRPr="00BE00C7">
              <w:rPr>
                <w:rFonts w:cs="Arial"/>
                <w:b w:val="0"/>
                <w:lang w:eastAsia="en-NZ"/>
              </w:rPr>
              <w:t>The strategic business plan describes the mission statement, values, and goals of Birchleigh. The board of directors consists of three long serving members who provide support and resources as required. Annual business goals are regularly reviewed in the board and management meetings.</w:t>
            </w:r>
          </w:p>
          <w:p w:rsidR="00EB7645" w:rsidRPr="00BE00C7" w:rsidP="00BE00C7">
            <w:pPr>
              <w:pStyle w:val="OutcomeDescription"/>
              <w:spacing w:before="120" w:after="120"/>
              <w:rPr>
                <w:rFonts w:cs="Arial"/>
                <w:b w:val="0"/>
                <w:lang w:eastAsia="en-NZ"/>
              </w:rPr>
            </w:pPr>
            <w:r w:rsidRPr="00BE00C7">
              <w:rPr>
                <w:rFonts w:cs="Arial"/>
                <w:b w:val="0"/>
                <w:lang w:eastAsia="en-NZ"/>
              </w:rPr>
              <w:t>The CEO has been in his role for over 14 years. Clinical oversight is provided by a service manager (the full title is Manager of Service Excellence, however for the purpose of this report the title is shortened to Service Manager) who has been in her role for one year. She is an RN with a current practising certificate and has worked in managerial roles in the aged care sector since 2008. Each of the three units (rest home, hospital, dementia) is managed separately by an experienced nurse manager/RN. The hospital nurse manager has been in the role for over ten years, the rest home nurse manager six months, and the dementia nurse manager for over two years.</w:t>
            </w:r>
          </w:p>
          <w:p w:rsidR="00EB7645" w:rsidRPr="00BE00C7" w:rsidP="00BE00C7">
            <w:pPr>
              <w:pStyle w:val="OutcomeDescription"/>
              <w:spacing w:before="120" w:after="120"/>
              <w:rPr>
                <w:rFonts w:cs="Arial"/>
                <w:b w:val="0"/>
                <w:lang w:eastAsia="en-NZ"/>
              </w:rPr>
            </w:pPr>
            <w:r w:rsidRPr="00BE00C7">
              <w:rPr>
                <w:rFonts w:cs="Arial"/>
                <w:b w:val="0"/>
                <w:lang w:eastAsia="en-NZ"/>
              </w:rPr>
              <w:t>The managers maintain at least eight hours of professional development activities per annum relating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systems are transitioning to an online system. Quality and risk performance is discussed at the three-monthly unit meetings and monthly at the quality and management team meetings. Quality and risk activities are presented monthly to the Board. Discussions with the managers and staff confirmed their understanding and involvement in quality and risk management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in the hospital and rest home are scheduled three monthly with family meetings in the dementia unit taking place six-monthly. Minutes are maintained. Annual resident and relative surveys are completed with results communicated to residents and staff. Survey results last completed in February 2021 reflect high levels of satisfaction in all areas. No negative trends were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have transitioned to an electronic management system, designed for aged residential care. Clinical guidelines are in place to assist care staff. Updates to policies are communicated to staff as they occur. The quality-monitoring programme is designed to monitor contractual and standards compliance, and the quality-of-service delivery in each unit and across the facility. There are clear guidelines and templates for reporting that cover internal audits, hazard management, risk management, incidents and accidents, infection control data collection and complaints management. The facility has implemented established processes to collect, analyse and evaluate data, which is utilised for service improvements. Results are communicated to staff across a variety of meetings (including unit specific) and reflected actions being implemented and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The health and safety officer interviewed (service manager) confirmed her understanding of health and safety processes. A current risk management plan, hazard control and emergency policies and procedures are in place. Hazards are identified, managed, and documented on the hazard register. Action plans are implemented to address issues raised. There are procedures to guide staff in managing clinical and non-clinical emergencies. Staff culture includes an understanding that health and safety is everyone’s responsibility.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intentional rounding, sensor mats, post falls reviews and individual interventions. A physiotherapist is onsite two days (approximately four hours) per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Accidents and incidents are analysed monthly with results discussed at monthly quality meetings and three-monthly staff meetings. Individual incident/accident reports are completed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20 incident/accident forms across the three units and including witnessed and unwitnessed falls, behaviours that challenge, and medication errors, identified that the electronic forms were fully completed and include follow-up by a registered nurse. Neurological observations are carried out for any suspected injury to the head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managers were able to identify situations that were reported to statutory authorities since the previous audit including notification to public health authorities for one outbreak and the completion of Section 31 reports for two pressure injuries and the change of clinical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Seven staff files reviewed (one registered nurse, five healthcare assistants, one cleaner) included evidence of reference checking, signed employment contracts and job descriptions, police checks, and annual performance appraisals. Staff turnover is low and reflects a positive workplace.</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Two of seven orientation checklists were missing in staff files (one cleaner, one healthcare assistant/rest home). The service manager reported that she is currently revising the orientation checklist for non-clinical staff (e.g., cleaners, laundry, kitchen hand) and has not retained documented evidence of their orientation.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and training plan that exceeds eight hours annually. The nurse managers in each area hold overall responsibility for staff education. There is an attendance register for each training session and an individual staff member record of training. Seven of sixteen RNs have completed their interRAI training. Registered nurses have access to external education through the DHB and Hospice. </w:t>
            </w:r>
          </w:p>
          <w:p w:rsidR="00EB7645" w:rsidRPr="00BE00C7" w:rsidP="00BE00C7">
            <w:pPr>
              <w:pStyle w:val="OutcomeDescription"/>
              <w:spacing w:before="120" w:after="120"/>
              <w:rPr>
                <w:rFonts w:cs="Arial"/>
                <w:b w:val="0"/>
                <w:lang w:eastAsia="en-NZ"/>
              </w:rPr>
            </w:pPr>
            <w:r w:rsidRPr="00BE00C7">
              <w:rPr>
                <w:rFonts w:cs="Arial"/>
                <w:b w:val="0"/>
                <w:lang w:eastAsia="en-NZ"/>
              </w:rPr>
              <w:t>At rest home level of care, there are 23 caregivers employed. Three have completed their level three Careerforce qualification (or its equivalent) and seven have completed their dementia qualification. At dementia level of care, in addition to the dementia qualification, three caregivers have completed a level three qualification and one has completed their level four. At hospital level of care 21 caregivers are employed. Ten have completed their level three qualification and three have completed their level four. Ten have completed their dementia qualification. Twenty-two healthcare assistants work in the dementia unit. Eighteen have completed the required dementia standards, one is in the process and completing theirs (employed for less than 18 months) and three have recently been employed and have not yet enrolled.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Rosters implement the staffing rationale. There is a minimum of one RN on site at any time. Activities are provided seven days a week. The nurse managers each work 40 hours a week and provide on call.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Silverstream (rest home unit with 33 residents): In addition to the nurse manager, an RN is rostered five days a week (two long shifts and three short shifts). They are supported by five healthcare assistants (two long and three short). There are three healthcare assistants (one long and two short) rostered on the afternoon shift and one healthcare assistant rostered on the night shift with a second float position shared between the rest home and dementia units. </w:t>
            </w:r>
          </w:p>
          <w:p w:rsidR="00EB7645" w:rsidRPr="00BE00C7" w:rsidP="00BE00C7">
            <w:pPr>
              <w:pStyle w:val="OutcomeDescription"/>
              <w:spacing w:before="120" w:after="120"/>
              <w:rPr>
                <w:rFonts w:cs="Arial"/>
                <w:b w:val="0"/>
                <w:lang w:eastAsia="en-NZ"/>
              </w:rPr>
            </w:pPr>
            <w:r w:rsidRPr="00BE00C7">
              <w:rPr>
                <w:rFonts w:cs="Arial"/>
                <w:b w:val="0"/>
                <w:lang w:eastAsia="en-NZ"/>
              </w:rPr>
              <w:t>Janefield (dementia unit with 24 resident):  The nurse manager is supported by and additional RN two days a week. Four healthcare assistants cover the AM shift (one long and three short). Four healthcare assistants are rostered on the afternoon shift (two long and two short with additional support provided by an EN (1200 – 2030). One healthcare assistant is rostered on the night shift with a second float position shared between the rest home and dementia units.</w:t>
            </w:r>
          </w:p>
          <w:p w:rsidR="00EB7645" w:rsidRPr="00BE00C7" w:rsidP="00BE00C7">
            <w:pPr>
              <w:pStyle w:val="OutcomeDescription"/>
              <w:spacing w:before="120" w:after="120"/>
              <w:rPr>
                <w:rFonts w:cs="Arial"/>
                <w:b w:val="0"/>
                <w:lang w:eastAsia="en-NZ"/>
              </w:rPr>
            </w:pPr>
            <w:r w:rsidRPr="00BE00C7">
              <w:rPr>
                <w:rFonts w:cs="Arial"/>
                <w:b w:val="0"/>
                <w:lang w:eastAsia="en-NZ"/>
              </w:rPr>
              <w:t>Braeside (hospital unit with 26 residents (25 hospital and one rest home)):  In addition to the nurse manager, an RN is rostered on each shift. They are supported by five healthcare assistants (three long and two short). There are four healthcare assistants rostered on the afternoon shift (two long and two short) and one healthcare assistant on night shift.</w:t>
            </w:r>
          </w:p>
          <w:p w:rsidR="00EB7645" w:rsidRPr="00BE00C7" w:rsidP="00BE00C7">
            <w:pPr>
              <w:pStyle w:val="OutcomeDescription"/>
              <w:spacing w:before="120" w:after="120"/>
              <w:rPr>
                <w:rFonts w:cs="Arial"/>
                <w:b w:val="0"/>
                <w:lang w:eastAsia="en-NZ"/>
              </w:rPr>
            </w:pPr>
            <w:r w:rsidRPr="00BE00C7">
              <w:rPr>
                <w:rFonts w:cs="Arial"/>
                <w:b w:val="0"/>
                <w:lang w:eastAsia="en-NZ"/>
              </w:rPr>
              <w:t>Staff working on the days of the audit, were visible and attending to call bells in a timely manner as confirmed by all residents interviewed. Staff interviewed stated that overall, the staffing levels are satisfactory and that the managers provide good support. Residents and family members interviewed reported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policies and procedures comply with medication legislation and guidelines. All medications and medication trolleys are stored safely in the locked medication rooms. There are monthly checks of stock levels and expiry dates. Birchleigh uses an electronic medication management system. Medications are checked on arrival and discrepancies are feedback as errors to the pharmacy. Medication errors are documented on incident forms and discuss at quality meetings. Regular medication internal audits are completed, and corrective actions implemented and signed off.</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administer medications in the hospital, rest home and dementia unit and medication competent healthcare assistants assist with the process. All staff who administer medications completed annual medication competencies. Policies and procedures support practice and training has been provided. Self-administration of eyedrops by residents (two in the hospital) is managed as per guidelines and policy. The GP interviewed advised that three monthly medication reviews are completed and minimal attitude to anti-psychotic medication is adhered to. Staff were observed safely administering medications on the days of audit. There are approved guidelines for a list of nurse-initiated medication.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electronic medication files were reviewed. All files reviewed evidenced the resident’s photograph, allergy status and correct prescribing. </w:t>
            </w:r>
          </w:p>
          <w:p w:rsidR="00EB7645" w:rsidRPr="00BE00C7" w:rsidP="00BE00C7">
            <w:pPr>
              <w:pStyle w:val="OutcomeDescription"/>
              <w:spacing w:before="120" w:after="120"/>
              <w:rPr>
                <w:rFonts w:cs="Arial"/>
                <w:b w:val="0"/>
                <w:lang w:eastAsia="en-NZ"/>
              </w:rPr>
            </w:pPr>
            <w:r w:rsidRPr="00BE00C7">
              <w:rPr>
                <w:rFonts w:cs="Arial"/>
                <w:b w:val="0"/>
                <w:lang w:eastAsia="en-NZ"/>
              </w:rPr>
              <w:t>‘As required’ medication was appropriately prescribed and administered, and effectiveness noted in either the comments section of the progress notes or the electronic resident management system or one the electronic management system itself. Enteral feeds where prescribed is on the electronic medication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Storage of medications were correctly managed and recording of medication room and medication fridge temperatures were electronically monitored with software, the general manager will inform the nurse managers when temperatures were outside the normal parameters and corrective actions needed. Medication were within expiration and eye drops and ointments were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at Birchleigh is provided by an external food service contractor. All meals and snacks are prepared in a large well-equipped kitchen at the retirement village adjacent to the care facility.</w:t>
            </w:r>
          </w:p>
          <w:p w:rsidR="00EB7645" w:rsidRPr="00BE00C7" w:rsidP="00BE00C7">
            <w:pPr>
              <w:pStyle w:val="OutcomeDescription"/>
              <w:spacing w:before="120" w:after="120"/>
              <w:rPr>
                <w:rFonts w:cs="Arial"/>
                <w:b w:val="0"/>
                <w:lang w:eastAsia="en-NZ"/>
              </w:rPr>
            </w:pPr>
            <w:r w:rsidRPr="00BE00C7">
              <w:rPr>
                <w:rFonts w:cs="Arial"/>
                <w:b w:val="0"/>
                <w:lang w:eastAsia="en-NZ"/>
              </w:rPr>
              <w:t>The food services manager is a qualified chef and was able to discuss the food service transportation to Birchleigh. The director for the contracted company was present on the day of the audit. The food services manager was knowledgeable regarding the current menu and all aspects of the food service. The food services manager is supported daily by a second weekend kitchen manager and a kitchen hand. The roster is adequate for the size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menus are reviewed by the company dietitian and last reviewed in April 2021. There are food service meetings within the external catering service, and they get feedback from resident meetings /surveys.  Food service staff are trained in food safety.  The chiller and freezer temperatures are recorded daily, and food temperatures are recorded at each mealtime.  All temperatures are recorded on an electronic food service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meals are transported in hot boxes to the three serveries, one servery located in each unit.  Meals are plated and serve directly from the bain-marie and plated and served by a kitchen hand.  Plates are name labelled where special dietary requirements are known and where residents have their meals in their rooms.  The food services manager or kitchen manager receives a nutritional assessment for each new resident and is notified of any changes, special diets, dietician instructions for weight loss. </w:t>
            </w:r>
          </w:p>
          <w:p w:rsidR="00EB7645" w:rsidRPr="00BE00C7" w:rsidP="00BE00C7">
            <w:pPr>
              <w:pStyle w:val="OutcomeDescription"/>
              <w:spacing w:before="120" w:after="120"/>
              <w:rPr>
                <w:rFonts w:cs="Arial"/>
                <w:b w:val="0"/>
                <w:lang w:eastAsia="en-NZ"/>
              </w:rPr>
            </w:pPr>
            <w:r w:rsidRPr="00BE00C7">
              <w:rPr>
                <w:rFonts w:cs="Arial"/>
                <w:b w:val="0"/>
                <w:lang w:eastAsia="en-NZ"/>
              </w:rPr>
              <w:t>Cultural, religious and food allergies are accommodated.  Special diets accommodated are gluten free, dairy free, modified diets such as soft, mince and moist and pureed.  The food services manager interviewed could identify residents with special nutrition needs like swallowing difficulties and weight loss.  The lunch meal was observed in the rest home and in the dementia unit, enough healthcare assistants were available in the dining room to assist residents with their meals.  Additional food and snacks are available and accessible any time of the day.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expressed satisfaction with the meals and individual likes, dislikes and preferences are catered for.  Food profiles, dietary needs and allergies are recorded.  Weight monitoring occurs and the dietitian are involved with any residents who are experiencing weight loss.  A food first approach to weight loss is implemented.  Supplements and fortified meals are provided to those residents requiring these.  Special equipment including utensils was observed to be in use.  A food control plan is in place and local council verification has occurred with a current annual certificate displayed.  The food control plan is current and expires April 2022.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chemical provider completes a monthly check on the dishwasher function and temperatures.  A cleaning schedule is maintained.  The dry goods store has all goods sealed and labelled.  The kitchen staff were observed wearing appropriate personal protective clothing.  Feedback is received from meetings, family members and through annual surveys.  Residents and relatives interviewed are satisfied with the food service, choices, and option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Nutritious snacks and fruit platters are available 24 hours a day. There is a supply of snacks (including a nibble platter) in the dementia unit servery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or nurse specialist consultation. Short- term care plans are completed for changes to care/supports required and communicated at handovers. Registered nurses (RNs) and healthcare assistants (HCAs), follow the care plan and report in progress notes against the care plan each shift. When a resident's condition alters, the registered nurse initiates a GP review if required. The community mental health maintains a close liaison with the RNs and, GP. There is evidence in the progress notes of the nurse manager communication with the psychogeriatric nurse practitioner. The relatives interviewed stated their expectations were being met and they were notified of any changes to health, incidents, infections, GP visits and medication changes. </w:t>
            </w:r>
          </w:p>
          <w:p w:rsidR="00EB7645" w:rsidRPr="00BE00C7" w:rsidP="00BE00C7">
            <w:pPr>
              <w:pStyle w:val="OutcomeDescription"/>
              <w:spacing w:before="120" w:after="120"/>
              <w:rPr>
                <w:rFonts w:cs="Arial"/>
                <w:b w:val="0"/>
                <w:lang w:eastAsia="en-NZ"/>
              </w:rPr>
            </w:pPr>
            <w:r w:rsidRPr="00BE00C7">
              <w:rPr>
                <w:rFonts w:cs="Arial"/>
                <w:b w:val="0"/>
                <w:lang w:eastAsia="en-NZ"/>
              </w:rPr>
              <w:t>Residents with swallowing difficulties had been reviewed by a GP, dietitian, speech, and language therapist and referred to radiology for further tests. Healthcare assistants in the hospital were observed to adhere to the organisations ` two person assist transfer policy when hoisting and repositioning residents. Observation on the day also included healthcare assistants’ communication to be appropriate and effective with residents with hearing difficulties.</w:t>
            </w:r>
          </w:p>
          <w:p w:rsidR="00EB7645" w:rsidRPr="00BE00C7" w:rsidP="00BE00C7">
            <w:pPr>
              <w:pStyle w:val="OutcomeDescription"/>
              <w:spacing w:before="120" w:after="120"/>
              <w:rPr>
                <w:rFonts w:cs="Arial"/>
                <w:b w:val="0"/>
                <w:lang w:eastAsia="en-NZ"/>
              </w:rPr>
            </w:pPr>
            <w:r w:rsidRPr="00BE00C7">
              <w:rPr>
                <w:rFonts w:cs="Arial"/>
                <w:b w:val="0"/>
                <w:lang w:eastAsia="en-NZ"/>
              </w:rPr>
              <w:t>Staff have access to sufficient medical and clinical supplies available such as equipment and dressings. All wounds have wound assessments, pain scores, photos, sizes, dressing plan and evaluations completed on the due dates. There was a total of 18 current wounds treated across the service (eleven across the hospital unit including two chronic wounds, three skin tears in the dementia unit and four in the rest home including two chronic wounds. There has been wound specialist input for two of the wounds in the hospital and two in the rest home. There were no pressure injuries treated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Wound management policies and procedures are in place. Wound assessments, evaluation and monitoring documentation were completed within required timeframes for each of wound. Pressure relieving devices in place included roho cushion, pressure relieving mattresses, heel protectors and two hourly repositioning charts. There is evidence that previous recorded stage 1 and stage 2 pressure injuries has resolved in a timely manner with RN input only. Associated pain charts were completed where analgesia was administered.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products are available and resident files include a continence assessment and plan as part of the care plan.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There are twenty-four-hour diversional therapy plans on the files for those residents in the dementia unit and describe the resident’s usual signs of wellness, changes and triggers, interventions, and de-escalation techniques (including activities), for the management of challenging behaviours. The monitoring charts were maintained as required including behaviour monitoring charts used in the dementia unit for residents with challenging behaviours or new behaviours.</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include pain, observations, neurological observations, 24-hour fluid intake, blood sugar levels, weight, re-positioning charts, food and fluid, resident hygiene and bowel charts, challenging behaviour, restraint monitoring and toileting charts. All monitoring forms are completed on the electronic management system or uploaded to the system when paper based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provided are appropriate to the needs, age, and culture of the residents. The activities are physically and mentally stimulating. There is one qualified diversional therapist (DT) supported by four activities coordinators. The DT is working Monday to Fridays 35 hours in the rest home and a Saturdays 9am-1pm is covered by a part time employee. Activities coordinators in the hospital (30 hours per week) and dementia unit (10am-4.30pm) works Monday to Fridays. There is an afternoon activities person for the dementia unit (1 pm-4.30pm on a Saturday). There is a volunteer in the hospital on Tuesdays and Wednesdays to assist with activities in the hospital unit only.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had training for their roles and develop the weekly activity plans with the residents. There is a separate activity programme for each unit (one hospital, one dementia and one for the rest home) that meets the individual physical, cognitive, intellectual, and spiritual/cultural preferences of the residents. Small group activities and one-on-one time with residents were included in the programmes. Activities staff advised that residents have input into the activities programme and links to the community are a focus of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a few residents participated in news reading. Van outings/scenic drives are weekly and there are two activity staff on each outing. One van has wheelchair access. All activity staff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Activities varied according to the residents` interest and include van drives, devotion, animal therapy, music entertainers, gardening, exercises, and wheelchair walks. The hairdresser visits Tuesdays to Fridays. There is a salon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weekly activities are posted in each unit on the noticeboards and in the residents` rooms. Healthcare assistants provide support with activities during the weekend. There are sufficient activity resources available. The activity plans sampled were well-documented and reflected the resident’s preferred activities and interests. The resident’s activities participation log was sighted. The DT and activities coordinators confirmed that the programme is flexible and can change, their focus is on resident input into the activity’s planner. </w:t>
            </w:r>
          </w:p>
          <w:p w:rsidR="00EB7645" w:rsidRPr="00BE00C7" w:rsidP="00BE00C7">
            <w:pPr>
              <w:pStyle w:val="OutcomeDescription"/>
              <w:spacing w:before="120" w:after="120"/>
              <w:rPr>
                <w:rFonts w:cs="Arial"/>
                <w:b w:val="0"/>
                <w:lang w:eastAsia="en-NZ"/>
              </w:rPr>
            </w:pPr>
            <w:r w:rsidRPr="00BE00C7">
              <w:rPr>
                <w:rFonts w:cs="Arial"/>
                <w:b w:val="0"/>
                <w:lang w:eastAsia="en-NZ"/>
              </w:rPr>
              <w:t>This audit was conducted during Covid- 19 level 2 guidelines and there were no combined activities between the units. Activities are planned over seven days with assistance from HCAs to initiate activities.</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interacting with residents in the dementia unit using diversion strategies for residents who required this. In the hospital unit the activities coordinator was observing doing one on one hand massage therapy with one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verbalised the activities provided by the service are adequate and enjoyable. A 24-hour activity plan is in place for all residents in the dementia unit and reflected de-escalating techniques when behaviour becomes challenging. Individual activity plans were reviewed six monthly in files sampled. </w:t>
            </w:r>
          </w:p>
          <w:p w:rsidR="00EB7645" w:rsidRPr="00BE00C7" w:rsidP="00BE00C7">
            <w:pPr>
              <w:pStyle w:val="OutcomeDescription"/>
              <w:spacing w:before="120" w:after="120"/>
              <w:rPr>
                <w:rFonts w:cs="Arial"/>
                <w:b w:val="0"/>
                <w:lang w:eastAsia="en-NZ"/>
              </w:rPr>
            </w:pPr>
            <w:r w:rsidRPr="00BE00C7">
              <w:rPr>
                <w:rFonts w:cs="Arial"/>
                <w:b w:val="0"/>
                <w:lang w:eastAsia="en-NZ"/>
              </w:rPr>
              <w:t>Feedback on the programme is received through six weekly resident meetings in each unit and relative gatherings. Relatives interviewed confirmed their satisfaction around activities offered and confirmed they are kept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reviewed (for all long-term residents) demonstrated that the long-term care plans were evaluated at least six monthly (or earlier if there was a change in health status). Changes in health status were documented and followed up. Short-term care plans sighted were evaluated and resolved or added to the long-term care plan if the problem was ongoing, as sighted in resident files reviewed. Three monthly clinical review meetings were held with the EPOA/relatives and the resident, interventions records where progress is different from the expected goal. Changes are updated on the long-term care plan. The GP reviewed the resident at least three monthly. Other allied health professionals involved in the care of the resident provide input at the six-monthly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systems in place to ensure the physical environment and facilities are safe and fit for their purpose. The facility has a building warrant of fitness, issued by the Dunedin City Council. Expiry certificates are behind schedule due to Covid lockdowns, confirmed in a letter from the Dunedin City Council. Evidence was sighted of six-monthly fire safety checks by an external provider. Fire evacuation drills take place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Maintenance is undertaken by both internal maintenance personnel and external contractors. Electrical safety test tag system shows this has occurred (August 2021). The facility is being maintained in good repair. All maintenance records were reviewed and are clearly documented. The maintenance person maintains a documented preventative and reactive maintenance schedule. Water temperatures are monitored and within range. </w:t>
            </w:r>
          </w:p>
          <w:p w:rsidR="00EB7645" w:rsidRPr="00BE00C7" w:rsidP="00BE00C7">
            <w:pPr>
              <w:pStyle w:val="OutcomeDescription"/>
              <w:spacing w:before="120" w:after="120"/>
              <w:rPr>
                <w:rFonts w:cs="Arial"/>
                <w:b w:val="0"/>
                <w:lang w:eastAsia="en-NZ"/>
              </w:rPr>
            </w:pPr>
            <w:r w:rsidRPr="00BE00C7">
              <w:rPr>
                <w:rFonts w:cs="Arial"/>
                <w:b w:val="0"/>
                <w:lang w:eastAsia="en-NZ"/>
              </w:rPr>
              <w:t>The wide corridors and rails promote safe mobility with the use of mobility aids and transferring equipment. Residents were observed moving freely around the areas with mobility aids where required. The external areas and gardens are well maintained. There is outdoor furniture and seating and shaded areas. There is safe wheelchair access to all areas. There is an outdoor designated smoking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healthcare assistants and RNs interviewed stated that they have the equipment referred to in care plans necessary to provide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lounge area is designed so that space and seating arrangements provide for individual and group activities. Seating is appropriate and designed to meet the consumer group. There are quiet, low stimulus areas that provide privacy when required. There is a safe and secure outside area that is easy to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Definitions of infections are in place, appropriate to the complexity of service provided. The nurse managers for each unit collates monthly data for their units for all infections based on signs and symptoms of infection. Surveillance of all infections for each unit is entered separately into a monthly infection summary register. The infection control coordinator collates and combines all data on the electronic system to identify trends. Surveillance results are reported to the facility meetings and minutes are made available to read. Trending and analysis of infections is undertaken monthly and annually. The data has been monitored and evaluated at organisational level. The IPC nurse (dementia unit nurse manager) interviewed confirm that decreasing the number of urine tract infections were identified as a quality focus.</w:t>
            </w:r>
          </w:p>
          <w:p w:rsidR="00EB7645" w:rsidRPr="00BE00C7" w:rsidP="00BE00C7">
            <w:pPr>
              <w:pStyle w:val="OutcomeDescription"/>
              <w:spacing w:before="120" w:after="120"/>
              <w:rPr>
                <w:rFonts w:cs="Arial"/>
                <w:b w:val="0"/>
                <w:lang w:eastAsia="en-NZ"/>
              </w:rPr>
            </w:pPr>
            <w:r w:rsidRPr="00BE00C7">
              <w:rPr>
                <w:rFonts w:cs="Arial"/>
                <w:b w:val="0"/>
                <w:lang w:eastAsia="en-NZ"/>
              </w:rPr>
              <w:t>Covid-19 prevention strategies have been implemented within the facility. There are robust processes documented and include a full monthly stocktake of personal protective equipment and recorded cleaning processes for equipment and protective eyewear. Staff were observed practicing good hand washing techniques. There are plenty of gloves available in the hallways (not resident rooms). Staff completed hand hygiene as part of IPC education and recently completed competencies. Staff were observed in the hospital wing to practice good hygiene.</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gastro related outbreak in August 2020 since the previous audit. All affected residents were contained to one unit, reported to Public Health, of short duration and managed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Restraint minimisation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There was one hospital level resident voluntarily using bedrails as an enabler and three residents using t-belts intermittently as a restraint (two dementia, one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 for the enabler file was reviewed. Voluntary consent and an assessment process were completed. The enabler is linked to the resident’s care plan and is regularly reviewed.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77"/>
        <w:gridCol w:w="1280"/>
        <w:gridCol w:w="4781"/>
        <w:gridCol w:w="1890"/>
        <w:gridCol w:w="25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undergo an orientation programme. Documented evidence of this occurring was missing in a sample of staff files reviewed and confirmed during an interview with the service manager.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seven orientation checklists were missing from staff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each staff file contains documented evidence of staff completing an orientation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Birchleigh Management Limited - Birchleigh Residential Care Centre</w:t>
    </w:r>
    <w:bookmarkEnd w:id="58"/>
    <w:r>
      <w:rPr>
        <w:rFonts w:cs="Arial"/>
        <w:sz w:val="16"/>
        <w:szCs w:val="20"/>
      </w:rPr>
      <w:tab/>
      <w:t xml:space="preserve">Date of Audit: </w:t>
    </w:r>
    <w:bookmarkStart w:id="59" w:name="AuditStartDate1"/>
    <w:r>
      <w:rPr>
        <w:rFonts w:cs="Arial"/>
        <w:sz w:val="16"/>
        <w:szCs w:val="20"/>
      </w:rPr>
      <w:t>23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