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Athenree Life Limited - Athenree Life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Athenree Life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Athenree Life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4 November 2021</w:t>
      </w:r>
      <w:bookmarkEnd w:id="7"/>
      <w:r w:rsidRPr="009418D4">
        <w:rPr>
          <w:rFonts w:cs="Arial"/>
        </w:rPr>
        <w:tab/>
        <w:t xml:space="preserve">End date: </w:t>
      </w:r>
      <w:bookmarkStart w:id="8" w:name="AuditEndDate"/>
      <w:r w:rsidR="00A4268A">
        <w:rPr>
          <w:rFonts w:cs="Arial"/>
        </w:rPr>
        <w:t>5 November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Athenree Life Limited provides rest home, hospital and dementia level care for up to 43 residents. The service is operated by Sound Care Group and managed by a facility manager and a clinical services manager. Residents and families spoke positively about the care provided.</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Bay of Plenty District Health Board. The audit process included review of policies and procedures, review of residents’ and staff files, observations and interviews with residents, family members, managers, staff, and a general practitioner.</w:t>
      </w:r>
    </w:p>
    <w:p w:rsidRPr="00A4268A">
      <w:pPr>
        <w:spacing w:before="240" w:line="276" w:lineRule="auto"/>
        <w:rPr>
          <w:rFonts w:eastAsia="Calibri"/>
        </w:rPr>
      </w:pPr>
      <w:r w:rsidRPr="00A4268A">
        <w:rPr>
          <w:rFonts w:eastAsia="Calibri"/>
        </w:rPr>
        <w:t>No areas for improvement were identified during the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Health and Disability Commissioner’s Code of Health and Disability Services Consumers’ Rights (the Code) is made available to residents of Athenree Life Limited (Athenree) when they are admitted.  Opportunities are provided to discuss the Code, consent, and availability of advocacy services at the time of admission and thereafter as required.</w:t>
      </w:r>
    </w:p>
    <w:p w:rsidRPr="00A4268A">
      <w:pPr>
        <w:spacing w:before="240" w:line="276" w:lineRule="auto"/>
        <w:rPr>
          <w:rFonts w:eastAsia="Calibri"/>
        </w:rPr>
      </w:pPr>
      <w:r w:rsidRPr="00A4268A">
        <w:rPr>
          <w:rFonts w:eastAsia="Calibri"/>
        </w:rPr>
        <w:t>Services at Athenree are provided in a manner that respects the choices, personal privacy, independence, individual needs, and dignity of residents.  Staff were observed to be interacting with residents in a respectful manner.</w:t>
      </w:r>
    </w:p>
    <w:p w:rsidRPr="00A4268A">
      <w:pPr>
        <w:spacing w:before="240" w:line="276" w:lineRule="auto"/>
        <w:rPr>
          <w:rFonts w:eastAsia="Calibri"/>
        </w:rPr>
      </w:pPr>
      <w:r w:rsidRPr="00A4268A">
        <w:rPr>
          <w:rFonts w:eastAsia="Calibri"/>
        </w:rPr>
        <w:t>Care for any residents who identify as Māori is guided by a comprehensive Māori health plan and related policies.</w:t>
      </w:r>
    </w:p>
    <w:p w:rsidRPr="00A4268A">
      <w:pPr>
        <w:spacing w:before="240" w:line="276" w:lineRule="auto"/>
        <w:rPr>
          <w:rFonts w:eastAsia="Calibri"/>
        </w:rPr>
      </w:pPr>
      <w:r w:rsidRPr="00A4268A">
        <w:rPr>
          <w:rFonts w:eastAsia="Calibri"/>
        </w:rPr>
        <w:t>There was no evidence of abuse, neglect or discrimination and staff understood and implemented related policies.  Professional boundaries are maintained.</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formal interpreting services if required.</w:t>
      </w:r>
    </w:p>
    <w:p w:rsidRPr="00A4268A">
      <w:pPr>
        <w:spacing w:before="240" w:line="276" w:lineRule="auto"/>
        <w:rPr>
          <w:rFonts w:eastAsia="Calibri"/>
        </w:rPr>
      </w:pPr>
      <w:r w:rsidRPr="00A4268A">
        <w:rPr>
          <w:rFonts w:eastAsia="Calibri"/>
        </w:rPr>
        <w:t>Athenree has linkages to a range of specialist health care providers, which contributes to ensuring services provided to residents are of an appropriate standard.</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included the direction, goals, values and mission statement of the organisation and the facility. These included the care and support needs of the different groups of residents living at Athenree.  Monitoring of the services provided to the governing body was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to all residents, including those younger people with disabilities, and were current and reviewed regularly. </w:t>
      </w:r>
    </w:p>
    <w:p w:rsidRPr="00A4268A">
      <w:pPr>
        <w:spacing w:before="240" w:line="276" w:lineRule="auto"/>
        <w:rPr>
          <w:rFonts w:eastAsia="Calibri"/>
        </w:rPr>
      </w:pPr>
      <w:r w:rsidRPr="00A4268A">
        <w:rPr>
          <w:rFonts w:eastAsia="Calibri"/>
        </w:rPr>
        <w:t>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liaison evident between the Needs Assessment Service Co-ordinator and the clinical team.  Relevant information is provided to the potential resident and their family to facilitate admission to the facility.  </w:t>
      </w:r>
    </w:p>
    <w:p w:rsidRPr="00A4268A" w:rsidP="00621629">
      <w:pPr>
        <w:spacing w:before="240" w:line="276" w:lineRule="auto"/>
        <w:rPr>
          <w:rFonts w:eastAsia="Calibri"/>
        </w:rPr>
      </w:pPr>
      <w:r w:rsidRPr="00A4268A">
        <w:rPr>
          <w:rFonts w:eastAsia="Calibri"/>
        </w:rPr>
        <w:t>The residents’ needs are assessed by the multidisciplinary team on admission and within the required time frames.  Care plans are individualised, based on a comprehensive range of information, and accommodate any new problems that might arise.  The residents’ files reviewed evidenced that the care provided, and the needs of the residents are reviewed and evaluated on a regular and timely basis.  Residents are referred to other health providers as required.  Shift handovers and communication sheets promote continuity of care between the shifts in each area of the facility.</w:t>
      </w:r>
    </w:p>
    <w:p w:rsidRPr="00A4268A" w:rsidP="00621629">
      <w:pPr>
        <w:spacing w:before="240" w:line="276" w:lineRule="auto"/>
        <w:rPr>
          <w:rFonts w:eastAsia="Calibri"/>
        </w:rPr>
      </w:pPr>
      <w:r w:rsidRPr="00A4268A">
        <w:rPr>
          <w:rFonts w:eastAsia="Calibri"/>
        </w:rPr>
        <w:t>The planned activity programme is delivered by one full time activities assistant and is overseen by the group’s national diversional therapist.  The programme provides the residents with a variety of individual and group activities and maintains their links with the community.  There is a facility van available for outings as Covid-19 allows.</w:t>
      </w:r>
    </w:p>
    <w:p w:rsidRPr="00A4268A" w:rsidP="00621629">
      <w:pPr>
        <w:spacing w:before="240" w:line="276" w:lineRule="auto"/>
        <w:rPr>
          <w:rFonts w:eastAsia="Calibri"/>
        </w:rPr>
      </w:pPr>
      <w:r w:rsidRPr="00A4268A">
        <w:rPr>
          <w:rFonts w:eastAsia="Calibri"/>
        </w:rPr>
        <w:t>Medicines are managed according to policies and procedures, based on current best practice, and consistently implemented.  Medications are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any special requirements catered for.  There is food available for residents with dementia 24 hours a day, and snacks for rest home and hospital residents.  Policies guide the food service delivery supported by staff with food safety qualifications.  The kitchen was well organised, clean and meets food safety standards.  Residents verified satisfaction with the meals provided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was a current building warrant of fitness.  Electrical equipment has been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Personalised equipment for younger people with disabilities is well maintained and safely stored in their rooms. 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maintaining sufficient supplies and attend regular evacuation drills. The service’s emergency plan considers the special needs of all residents. Fire evacuation procedures are regularly practised. Residents and families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implemented policies and procedures that support the minimisation of restraint. There were no restraints in use at the time of the audit.  The use of enablers is voluntary for the safety of residents in response to individual requests.  </w:t>
      </w:r>
    </w:p>
    <w:p w:rsidRPr="00A4268A">
      <w:pPr>
        <w:spacing w:before="240" w:line="276" w:lineRule="auto"/>
        <w:rPr>
          <w:rFonts w:eastAsia="Calibri"/>
        </w:rPr>
      </w:pPr>
      <w:r w:rsidRPr="00A4268A">
        <w:rPr>
          <w:rFonts w:eastAsia="Calibri"/>
        </w:rPr>
        <w:t>A comprehensive assessment, approval and monitoring process is available for the use and oversight of restraint if needed.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programme, led by an experienced and appropriately trained infection control nurse, aims to prevent, and manage infections.  The programme is reviewed annually.  Specialist infection prevention and control advice is accessed if required.  </w:t>
      </w:r>
    </w:p>
    <w:p w:rsidRPr="00A4268A">
      <w:pPr>
        <w:spacing w:before="240" w:line="276" w:lineRule="auto"/>
        <w:rPr>
          <w:rFonts w:eastAsia="Calibri"/>
        </w:rPr>
      </w:pPr>
      <w:r w:rsidRPr="00A4268A">
        <w:rPr>
          <w:rFonts w:eastAsia="Calibri"/>
        </w:rPr>
        <w:t xml:space="preserve">Staff demonstrated good knowledge around the principals and practice of infection control, guided by relevant policies and supported with regular education.  </w:t>
      </w:r>
    </w:p>
    <w:p w:rsidRPr="00A4268A">
      <w:pPr>
        <w:spacing w:before="240" w:line="276" w:lineRule="auto"/>
        <w:rPr>
          <w:rFonts w:eastAsia="Calibri"/>
        </w:rPr>
      </w:pPr>
      <w:r w:rsidRPr="00A4268A">
        <w:rPr>
          <w:rFonts w:eastAsia="Calibri"/>
        </w:rPr>
        <w:t>Age care specific infection surveillance is undertaken, with data analysed, benchmarked and results reported through to all levels of the organisation.  Follow up action is taken as and when required.</w:t>
      </w:r>
    </w:p>
    <w:p w:rsidRPr="00A4268A">
      <w:pPr>
        <w:spacing w:before="240" w:line="276" w:lineRule="auto"/>
        <w:rPr>
          <w:rFonts w:eastAsia="Calibri"/>
        </w:rPr>
      </w:pPr>
      <w:r w:rsidRPr="00A4268A">
        <w:rPr>
          <w:rFonts w:eastAsia="Calibri"/>
        </w:rPr>
        <w:t>Covid-19 related processes are in place to manage the changes in the Ministry of Health Covid-19 response levels as appropriate to the aged care guidelines.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43"/>
        <w:gridCol w:w="1280"/>
        <w:gridCol w:w="941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Athenree has policies, procedures, and processes in place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part of the ongoing yearly training programme,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principals and practice of informed consent.  Informed consent policies provide relevant guidance to staff.  Clinical files reviewed showed that informed consent has been gained appropriately using the organisation’s standard consent form including for photographs and outings.  Advance care planning, establishing, and documenting enduring power of attorney requirements and processes for residents is defined and documented, as relevant, in the resident’s record.  All residents’ files reviewed in the Dementia facility have an EPOA in place and these have been activated.  Staff demonstrated their understanding by being able to explain situations when this may occur.</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gaining consent for day-to-day care on an ongoing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Posters and brochures related to the service are on display and available throughout the facility in both English and Māori.  Family members and residents spoken to were aware of the Advocacy Service, how to access this and their rights to have a support person.  Staff are also aware of how to access the Advocacy Service if this is required.  A member of the Health and Disability Advocacy Service has visited the facility and provided education.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self-help and to maintain links with their family and the community by attending a variety of organised outings, visits, activities, and entertainment.  The facility encourages visits from family and friends. Family members interviewed stated they felt welcome when they visited and comfortable in their dealings with the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 policy clearly described the complaint management process, including timeframes, and included information that complies with right 10 of the Code. Information about complaints is included in the admission agreement.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six complaints made since the current operators have taken over in December 2020. There is a register of complaints. This includes all the actions taken and records the time frames as required in the Code. Since the last audit, there have been no complaints made to the Health and Disability Commissioner or formal complaints to the DHB.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complaints/compliments forms available at reception for people to use whenever they want them.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group of eight staff members were interviewed and they described the complaint process and their responsibilities for supporting residents and family/whanau who want to make a complaint. The facility manager was also able to describe their responsibilities for ensuring all the timeframes of the Code are met and the director or the general manager are notified verbally when this is appropriate. </w:t>
            </w:r>
          </w:p>
          <w:p w:rsidR="00EB7645" w:rsidRPr="00BE00C7" w:rsidP="00BE00C7">
            <w:pPr>
              <w:pStyle w:val="OutcomeDescription"/>
              <w:spacing w:before="120" w:after="120"/>
              <w:rPr>
                <w:rFonts w:cs="Arial"/>
                <w:b w:val="0"/>
                <w:lang w:eastAsia="en-NZ"/>
              </w:rPr>
            </w:pPr>
            <w:r w:rsidRPr="00BE00C7">
              <w:rPr>
                <w:rFonts w:cs="Arial"/>
                <w:b w:val="0"/>
                <w:lang w:eastAsia="en-NZ"/>
              </w:rPr>
              <w:t>Family/whanau interviewed reported that they were aware of the process for making a formal complaint. The facility manager reported that she is available at all times to family if they wish to discuss anything and is open to feedback.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interviewed, the residents and family/whanau of Athenree reported being made aware of the Code and the Nationwide Health and Disability Advocacy Service (Advocacy Service) as part of the admission information provided and from discussion with staff.  The Code is displayed in English and Māori throughout the facility.  Information on how to make a complaint and provide feedback is available for residents and families.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their families confirmed that services are provided in a manner that has regard for their dignity, privacy, sexuality, spirituality, and choices.</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throughout the audit when attending to personal cares, by ensuring residents’ information is held securely and privately, when exchanging verbal information and during discussion with families and the GP.  With the exception of one shared, double bedroom, all residents have a private room.  There are several lounges located throughout the facility providing quiet areas to chat, away from the main communal areas.</w:t>
            </w:r>
          </w:p>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maintain their independence by participating in community activities and quite often the community activity comes to them as Covid-19 restrictions allow.  Each resident’s care plan includes documentation related to the resident’s abilities and strategies to maintain and maximise their independence.</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confirmed that each resident’s individual cultural, religious, and social needs, values and beliefs have been identified, documented, and incorporated into their care plan.</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was confirmed to be occurring during the orientation and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four residents at Athenree whom identified as Māori.  Staff receive annual education to enable them to support residents who identify as Māori to integrate their cultural values and beliefs.  This is evident throughout the facility with the use of te reo Māori language on signage.  The principals of the Treaty of Waitangi are incorporated into day-to-day practice, as is the importance of whanau.  There is a current Māori health plan and guidance on tikanga best practice is available and there are staff who identify as Māori in the facility and can act as a resource.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their families verified that they were consulted on their individual culture, values and beliefs and that staff respected these.  There are several staff who can act as interpreters if required. Access is also available to an external service. Residents’ personal preferences required interventions and special needs were included in all care plans that were reviewed.  For example, likes and dislikes, and attention to preferences around activities of daily living.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confirmed that residents were free from discrimination, harassment or exploitation and felt safe.  The facility general practitioner also expressed satisfaction with the standard of services provided to the residents.  The induction process for staff includes education related to professional boundaries and expected behaviour to support good practice.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provides and encourages good practice through evidence-based policies, input from external specialist services and allied health professionals, for example the dietitian, podiatrist, psychiatrist, and education for staff.  The GP confirmed that the service sought prompt and appropriate medical intervention when required and were responsive to medical requests.</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that they receive management support for external education and access their own professional networks.  Ongoing yearly training is provided both in-house, online and through external providers.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 own or their relative’s status, they are advised in a timely manner about any incidents or accidents and the outcomes of regular or urgent medical reviews.  This was clearly documented in the residents’ records that were reviewed and family communication sheets.  There was also evidence of resident/family input into the care planning process and the multi-disciplinary meetings.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principals of open disclosure, which is supported by policies and procedures that meet the requirements of the Code. Staff knew how to access an interpreter should this be required, and several staff members are bi-lingual.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Athenree Life Limited (Athenree) is one of four aged care facilities in Sound Care Group. There is a current business plan, which is reviewed annually, and outlines the purpose, values, scope, direction and goals of the Group. The documents described longer-term objectives and the associated operational plans.  A sample of the facility manager’s (FM’s) monthly reports to the senior management team and owner showed that adequate information to monitor performance is reported including occupancy/financial performance, emerging risks and issues, recruitment and staffing issues, if any.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 and director of Sound Care Group is an overseas trained nurse who now holds New Zealand registration. The facility manager is an overseas registered nurse who has worked in New Zealand as a caregiver in aged care, specialising in dementia care since 2009. She has obtained a Certificate in Healthcare at Level 4 on the New Zealand Qualifications Authority (NZQA) framework and the Dementia Unit Standards. The facility manager attends relevant training through the DHB as well as internal training through the organisation. She confirmed knowledge of the sector, regulatory and reporting requirements, and maintains currency through attending local sector meetings, building and maintaining relationships and through her role in the management team of the Sound Care Group. As well as the owner, the facility manager is supported by a clinical manager. This role is currently vacant but is being filled by the clinical support manager for the Group. There is also a general manager (GM) for Sound Care Group who is available to support the facility.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Bay of Plenty DHB for long term support chronic health conditions (LTCHC), aged-related residential care, hospital, rest home and dementia care. On the day of the audit there were 42 people receiving services at Athenree; 15 residents receiving hospital level care, 13 rest home care, 13 dementia care and 1 resident was assessed as LTCHC.</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adequate cover for both the facility manager and the clinical nurse manager when either person is away from the facility. In the absence of the facility manager the general manager will fill in for them. In the absence of the clinical nurse manager an appropriately skilled member of the executive management team will be assigned to this position. This was demonstrated during the audit. </w:t>
            </w:r>
          </w:p>
          <w:p w:rsidR="00EB7645" w:rsidRPr="00BE00C7" w:rsidP="00BE00C7">
            <w:pPr>
              <w:pStyle w:val="OutcomeDescription"/>
              <w:spacing w:before="120" w:after="120"/>
              <w:rPr>
                <w:rFonts w:cs="Arial"/>
                <w:b w:val="0"/>
                <w:lang w:eastAsia="en-NZ"/>
              </w:rPr>
            </w:pPr>
            <w:r w:rsidRPr="00BE00C7">
              <w:rPr>
                <w:rFonts w:cs="Arial"/>
                <w:b w:val="0"/>
                <w:lang w:eastAsia="en-NZ"/>
              </w:rPr>
              <w:t>The role of clinical manager was vacant at the time of the audit and was being fulfilled by the overall clinical manager for Sound Care Group. Staff members reported that they were receiving appropriate support from the person covering the role.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quality and risk plan that reflects the principles of continuous quality improvement. This includes the management of incidents and complaints, internal audit activities, an annual resident satisfaction survey (due each December), monitoring of clinical incidents including infections, wounds, enablers and use of alternatives to restraints, to ensure that restraint is not occurring.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and that related information is reported and discussed at both the facility with their staff meetings and group wide management meetings. Staff members reported their involvement in quality and risk management activities through reporting of incidents and accidents, assisting residents of family/whanau to make a complaint or raise concerns and involvement in internal audit activities. Relevant corrective actions or quality improvement plans are developed and implemented to address any shortfalls.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annual resident and family satisfaction survey is due to be completed in December. However, a post-admission survey is completed six weeks after entry of a new resident. These were reviewed for 2021. All responses were positive for people’s rooms, meals, the care being provided and follow-up.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for the facility covered all necessary aspects of the service and contractual requirements, including reference to the interRAI Long Term Care Facility (LTCF) assessment tool. Policies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 described the processes for the identification, monitoring, review and reporting of risks and development of mitigation strategies. The owner and facility manager are familiar with the Health and Safety at Work Act (2015) and requirements have implemented at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 sample of incident forms reviewed showed these were fully completed, incidents were investigated, action plans developed and actions followed-up in a timely manner. Adverse event data is collated, analysed and reported by the facility manager to the GM who provides the data summary and analysis to the executive management team’s monthly meeting. </w:t>
            </w:r>
          </w:p>
          <w:p w:rsidR="00EB7645" w:rsidRPr="00BE00C7" w:rsidP="00BE00C7">
            <w:pPr>
              <w:pStyle w:val="OutcomeDescription"/>
              <w:spacing w:before="120" w:after="120"/>
              <w:rPr>
                <w:rFonts w:cs="Arial"/>
                <w:b w:val="0"/>
                <w:lang w:eastAsia="en-NZ"/>
              </w:rPr>
            </w:pPr>
            <w:r w:rsidRPr="00BE00C7">
              <w:rPr>
                <w:rFonts w:cs="Arial"/>
                <w:b w:val="0"/>
                <w:lang w:eastAsia="en-NZ"/>
              </w:rPr>
              <w:t>The GM and facility manager described essential notification reporting requirements, including for pressure injuries. They advised there have been no notifications of significant events made to the Ministry of Health, since the current owner took over management of the facility on 23rd December 2020.</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 management policies and processes are based on good employment practice and relevant legislation. The recruitment process includes referee checks, police vetting and validation of qualifications and practising certificates (APCs), where required.  A sample of staff records reviewed (nine)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showed documentation of completed orientation and a performance review after three-months, followed by annual appraisals with a six monthly meeting during the year.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including mandatory training requirements. Care staff have either completed or commenced a New Zealand Qualification Authority education programme to meet the requirements of the provider’s agreement with the DHB. The facility manager is the internal assessor for the programme.  Care staff working in the dementia care area have either completed or are enrolled in the required education.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the currently employed registered nurses are trained and competent to undertake interRAI assessments and have met their annual competency requirements. The facility manager is trained and competent as an interRAI administrator.   </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demonstrated completion of the required training and completion of annual performance appraisals and three monthly post recruitment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The facility adjusts staffing levels to meet the changing needs of residents.  An afterhours, on-call roster is in place, with staff reporting that good access to advice is available when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reported there were adequate staff available to complete the work allocated to them. The resident and family members interviewed supported this. Registered nurses have requested 12 hour shifts as a preference. This gives them more days off and a better work/life balance. </w:t>
            </w:r>
          </w:p>
          <w:p w:rsidR="00EB7645" w:rsidRPr="00BE00C7" w:rsidP="00BE00C7">
            <w:pPr>
              <w:pStyle w:val="OutcomeDescription"/>
              <w:spacing w:before="120" w:after="120"/>
              <w:rPr>
                <w:rFonts w:cs="Arial"/>
                <w:b w:val="0"/>
                <w:lang w:eastAsia="en-NZ"/>
              </w:rPr>
            </w:pPr>
            <w:r w:rsidRPr="00BE00C7">
              <w:rPr>
                <w:rFonts w:cs="Arial"/>
                <w:b w:val="0"/>
                <w:lang w:eastAsia="en-NZ"/>
              </w:rPr>
              <w:t>Observations and review of the weekly roster for the month of the audit confirmed adequate staff cover has been provided, with staff replaced in any unplanned absence.  At least one staff member on every duty has a current first aid certificate and there is 24/7 RN coverage in the hospital.</w:t>
            </w:r>
          </w:p>
          <w:p w:rsidR="00EB7645" w:rsidRPr="00BE00C7" w:rsidP="00BE00C7">
            <w:pPr>
              <w:pStyle w:val="OutcomeDescription"/>
              <w:spacing w:before="120" w:after="120"/>
              <w:rPr>
                <w:rFonts w:cs="Arial"/>
                <w:b w:val="0"/>
                <w:lang w:eastAsia="en-NZ"/>
              </w:rPr>
            </w:pPr>
            <w:r w:rsidRPr="00BE00C7">
              <w:rPr>
                <w:rFonts w:cs="Arial"/>
                <w:b w:val="0"/>
                <w:lang w:eastAsia="en-NZ"/>
              </w:rPr>
              <w:t>Additional healthcare assistants have been allocated to each morning shift and work has been done to establish clear task lists for each of the three healthcare assistants on the morning shift. Staff members reported that this has improved their understanding of responsibilities. Residents and family members interviewed confirmed satisfaction with care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Clinical notes were current and integrated with GP and allied health service provider notes.  This includes interRAI assessment information entered into the Momentum electronic database.  Records were legible with the name and designation of the person stamped beside the entry.</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held securely on site and are readily retrievable.  Residents’ records are held for the required period before being destroyed.  No personal or private resident information was on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admitted to Athenree following assessment from the Needs Assessment Service Co-ordinator (NASC), as requiring the levels of care that Athenree provide.  For those residents in Dementia care, all appropriate consents were in place and signed by the EPOA’s as was the admission agreements.  Prospective residents and their families are encouraged to visit the facility prior to admission and are provided with written information about the service.  All residents prior to admission have a Covid-19 screen and the facility are guided by MOH guidelines.</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that they were happy with the admission process and the information that had been provided to them.  Files reviewed contained the completed demographic information, assessments, and signed admission agreements in accordance with the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Bay of Plenty District Health Board’s ‘Yellow envelope’ system to facilitate the transfer of residents to and from acute care settings.  There is open communication between all services, the residents, and the family.  At the time of transition between services, appropriate information, including medication records and the care plan, is provided for ongoing management of the resident.  All referrals are documented in the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was current and identified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An RN and carer check the medications against the prescription, then sign and dates each pack into the electronic system. All medications sighted were within current use by dates. Clinical pharmacist input is provided as required.  Controlled drugs are stored securely in accordance with requirements and checked by two staff for accuracy when administering. The controlled drug register provided evidence of weekly stock checks and accurate entries.  Controlled drugs are signed in and a pharmacy check is carried out every six months and this occurred when the facility changed pharmacies in the first six months and is booked in for this month.</w:t>
            </w:r>
          </w:p>
          <w:p w:rsidR="00EB7645" w:rsidRPr="00BE00C7" w:rsidP="00BE00C7">
            <w:pPr>
              <w:pStyle w:val="OutcomeDescription"/>
              <w:spacing w:before="120" w:after="120"/>
              <w:rPr>
                <w:rFonts w:cs="Arial"/>
                <w:b w:val="0"/>
                <w:lang w:eastAsia="en-NZ"/>
              </w:rPr>
            </w:pPr>
            <w:r w:rsidRPr="00BE00C7">
              <w:rPr>
                <w:rFonts w:cs="Arial"/>
                <w:b w:val="0"/>
                <w:lang w:eastAsia="en-NZ"/>
              </w:rPr>
              <w:t>The records of temperatures for the medicine fridge were reviewed and were within the recommended range.  The medication room also had temperature checks taken at the time of the audit.</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were noted, these included the prescriber’s signature and date recorded on the commencement and discontinuation of medicines and all requirements for pro re nata (PRN) medicines met.  The required three-monthly GP review was consistently recorded on the medicine chart.  There are no standing orders or verbal orders used; all charting of medications is electronic.  Vaccines are not stored on site.   The required Covid-19 vaccines have been given to both staff and residents with the exception of those who did not want to be vaccinated. There are currently no residents, self-medicating, there is a process in place should any residents wish to be accessed to self-medicate.</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cook and kitchen team and is in line with recognised nutritional guidelines for older people.  The menu follows summer and winter patterns and was reviewed by a qualified dietician in June 2021 with recommendations made at the time addressed. This is due for review in 2022.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Western Bay of Plenty District Council.   At time of audit, the kitchen was observed to be clean, and the cleaning schedule was maintained.</w:t>
            </w:r>
          </w:p>
          <w:p w:rsidR="00EB7645" w:rsidRPr="00BE00C7" w:rsidP="00BE00C7">
            <w:pPr>
              <w:pStyle w:val="OutcomeDescription"/>
              <w:spacing w:before="120" w:after="120"/>
              <w:rPr>
                <w:rFonts w:cs="Arial"/>
                <w:b w:val="0"/>
                <w:lang w:eastAsia="en-NZ"/>
              </w:rPr>
            </w:pPr>
            <w:r w:rsidRPr="00BE00C7">
              <w:rPr>
                <w:rFonts w:cs="Arial"/>
                <w:b w:val="0"/>
                <w:lang w:eastAsia="en-NZ"/>
              </w:rPr>
              <w:t>Food temperatures, including for high-risk items, are monitored, and recorded as part of the plan using an electronic database.</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Any special diets and modified texture requirements are made known to kitchen staff and accommodated in the daily meal plan.  The kitchen provides a varied menu which supports residents with specific cultural food requirements.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residents and families/whānau interviewed, through satisfaction surveys and in residents’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If a referral is received, but the resident does not meet the entry criteria, there are no vacancies, or the referral has been declined from the service due to inappropriate referral from the Needs Assessment Services Co-ordinator (NASC), there is a process in place to ensure that the prospective resident and family are supported to find an appropriate alternative.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If the needs of the resident change and they are no longer suitable for the services offered a referral for reassessment is made to NASC and a new placement is found in consultation with the resident and the whanau/family.  This was discussed with the acting clinical manager, but at the time of the audit, this had not occurred.  </w:t>
            </w:r>
          </w:p>
          <w:p w:rsidR="00EB7645" w:rsidRPr="00BE00C7" w:rsidP="00BE00C7">
            <w:pPr>
              <w:pStyle w:val="OutcomeDescription"/>
              <w:spacing w:before="120" w:after="120"/>
              <w:rPr>
                <w:rFonts w:cs="Arial"/>
                <w:b w:val="0"/>
                <w:lang w:eastAsia="en-NZ"/>
              </w:rPr>
            </w:pPr>
            <w:r w:rsidRPr="00BE00C7">
              <w:rPr>
                <w:rFonts w:cs="Arial"/>
                <w:b w:val="0"/>
                <w:lang w:eastAsia="en-NZ"/>
              </w:rPr>
              <w:t>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residents of Athenree are assessed using a range of nursing assessment tools, such as a pain scale, falls risk, skin integrity, cognition and behaviour, nutrition, activities, to identify any deficits and to inform initial care planning.  Within three weeks of admission, residents are accessed using the interRAI assessment tool, to inform long term care planning.  Reassessment using the interRAI tool, in conjunction with additional assessment data, occurs every six months or more frequently as residents’ changing conditions require.</w:t>
            </w:r>
          </w:p>
          <w:p w:rsidR="00EB7645" w:rsidRPr="00BE00C7" w:rsidP="00BE00C7">
            <w:pPr>
              <w:pStyle w:val="OutcomeDescription"/>
              <w:spacing w:before="120" w:after="120"/>
              <w:rPr>
                <w:rFonts w:cs="Arial"/>
                <w:b w:val="0"/>
                <w:lang w:eastAsia="en-NZ"/>
              </w:rPr>
            </w:pPr>
            <w:r w:rsidRPr="00BE00C7">
              <w:rPr>
                <w:rFonts w:cs="Arial"/>
                <w:b w:val="0"/>
                <w:lang w:eastAsia="en-NZ"/>
              </w:rPr>
              <w:t>Interviews, documentation, and observation verified the RNs are familiar with requirements for reassessment of a resident using the interRAI assessment tool when a resident has increasing or changing needs.  All residents have current interRAI assessments completed by one of the trained interRAI assessors on site.  InterRAI assessments are used to inform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at Athenree are paper based. When reviewed they reflected the support needs of the residents, and the outcomes of the integrated assessment process and other relevant clinical information.  In particular, the needs identified by the interRAI assessments were reflected in the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Care plans evidenced service integration with progress notes, activities notes, medical and allied health professionals’ notations clearly written, informative and relevant.  Any change in care required was documented and verbally passed on to relevant staff.  The two files reviewed in the Dementia facility each had a detailed 24-hour behavioural plan in place specific to the residents individual needs.   Residents and family/whanau reported participation in the development and ongoing evaluation of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observations and interviews with residents and families verified that the care provided to the residents was consistent with their needs, goals and the plan of care.  The attention to meeting a diverse range of residents’ needs was evident in all areas of service provision.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interviewed confirmed that medical orders were carried out in a timely manner and staff were very proactive at contacting the GP should a resident’s condition change.  Care staff confirmed that care was provided as outlined in the documentation.  </w:t>
            </w:r>
          </w:p>
          <w:p w:rsidR="00EB7645" w:rsidRPr="00BE00C7" w:rsidP="00BE00C7">
            <w:pPr>
              <w:pStyle w:val="OutcomeDescription"/>
              <w:spacing w:before="120" w:after="120"/>
              <w:rPr>
                <w:rFonts w:cs="Arial"/>
                <w:b w:val="0"/>
                <w:lang w:eastAsia="en-NZ"/>
              </w:rPr>
            </w:pPr>
            <w:r w:rsidRPr="00BE00C7">
              <w:rPr>
                <w:rFonts w:cs="Arial"/>
                <w:b w:val="0"/>
                <w:lang w:eastAsia="en-NZ"/>
              </w:rPr>
              <w:t>A range of equipment and resources were available and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for the rest home, hospital and dementia facility is provided by one full time activities assistant 9 am to 4.30 pm Monday to Friday.  The programme is overseen and developed in conjunction with the national group diversional therapist.  As part of the quality improvement plan, a submission to employ another activities assistant to support the residents during the week and weekends has been put forward.  The activities assistant is currently completing their diversional therapist qualification supported by the national group diversional therapist.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activities assessment is completed on admission to ascertain the resident’s needs, interests, abilities, and social requirements.  Activities assessments are regularly reviewed to help formulate a plan that is meaningful to the resident.  The activities programme is evaluated monthly at the residents’ meeting; this ascertains residents’ likes and dislikes.  A monthly tick list is completed along with the progress notes, all of which form part of the six-month multidisciplinary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Residents in the dementia facility have an in depth 24-hour diversional therapy plan and an assessment on admission to enable staff to better care for them and understand their needs.  There are two residents who identify as Māori, and support is given for activities culturally appropriate for them.  It is the aim of the diversional therapists to get the residents engaging in the community as much as Covid-19 restrictions allow. There is a facility van available for drives on a weekly basis for rest home, hospital and dementia care residents.  At present this is not occurring due to Covid-19 restrictions.</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the residents’ goals, ordinary patterns of life and included normal community activities, regular church services, ‘Housie’, knitting and visiting entertainers, pet therapy, walking group.  There is individual, group and gender specific activities for female and male residents.  Hospital and rest home residents have a separate activity programme from the dementia care residents.  There are several lounge areas, as well as the individual’s bedrooms where residents can watch their own television or listen to the radio.  The Activities Calendar is on display and each resident is given a copy of the monthly activities available for them to participate in.  It emphasises and celebrates cultural beliefs on a regular basis.</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can evaluate the programme through day-to-day discussions with the activities co-ordinator and by completing the six-monthly resident satisfaction survey and at the six monthly multi-disciplinary team meeting.   Residents and families interviewed confirmed the programme was interesting and varied.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is evaluated each shift and reported on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care plan evaluations occur every six months in conjunction with the six monthly interRAI/clinical reassessment or as the residents’ needs change.  Evaluations are documented by the RN.   Where progress is different from that expected, the service responds by initiating changes to the plan of care.  </w:t>
            </w:r>
          </w:p>
          <w:p w:rsidR="00EB7645" w:rsidRPr="00BE00C7" w:rsidP="00BE00C7">
            <w:pPr>
              <w:pStyle w:val="OutcomeDescription"/>
              <w:spacing w:before="120" w:after="120"/>
              <w:rPr>
                <w:rFonts w:cs="Arial"/>
                <w:b w:val="0"/>
                <w:lang w:eastAsia="en-NZ"/>
              </w:rPr>
            </w:pPr>
            <w:r w:rsidRPr="00BE00C7">
              <w:rPr>
                <w:rFonts w:cs="Arial"/>
                <w:b w:val="0"/>
                <w:lang w:eastAsia="en-NZ"/>
              </w:rPr>
              <w:t>Short term care plans are consistently reviewed for infections, pain, weight loss, and progress evaluated as clinically indicated and according to the degree of risk noted during the assessment process.  Other plans, such as wound management plans, were evaluated each time the dressings were changed.  Residents and families/whanau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one main medical provider, residents may choose to use another medical practitioner.  If the need for other non-urgent services is indicated or requested, the GP sends a referral to seek specialist input.  Copies of referrals were sighted in the residents’ files, including to the dietitian.  The resident and the family/whanau are kept informed of the referral process, as verified by documentation and interviews.  Any acute/urgent referrals are attended to immediately, such as ringing an ambulance if the situation dictates.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members were asked about the effectiveness of the cleaning and laundry products. There has been a change to a new contracted provided during 2021 and all reported an improved result using the new products. This included both better cleaning and a reduction in the ‘chemical’ smell of the product now in use, which staff members thought was better for residents.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throughout the facility. Staff were observed using these items during the days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10th December 2021) was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to ensure the residents’ physical environment and facilities are fit for their purpose and maintained. The testing and tagging of electrical equipment and calibration of bio-medical equipment was current and confirmed in documentation reviewed, interviews with maintenance personnel and observation of the environment.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environment was hazard free and residents’ safety was promoted. Personalised equipment is available for the younger residents with disabilities to meet all their mobility and equipment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were appropriate to the resident groups and setting. A secure and accessible garden is available directly from the dementia unit. This has seating, shade, a large, established tree and lawn. It is also private and spacious.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Internally the dementia unit has a wide central corridor and a very large, spacious dining and living room. Residents who use the dementia unit were seen accessing these areas during the days of the audit, as well as their own bedrooms, either independently where they are able to, or with assistance if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confirmed they know the processes they should follow if any repairs or maintenance are required and that requests are actioned. The staff members responsible for maintenance have an annual plan of routine maintenance and daily maintenance tasks, which are signed off when completed. Completion of maintenance is reported to the facility manager each month.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or who had completed the post admission surveys, were happy with the environment.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accessible bathroom and toilet facilities throughout the facility. This includes a combination of ensuites, additional showers and toilet facilities and a separate toilet and shower for staff members. Appropriately secured and approved handrails are provided in the toilet/shower areas, and other equipment/accessories are available to promote each residents’ independence.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One bedroom provides shared accommodation for two residents, otherwise all other bedrooms provide single accommodation. For the two residents in the shared bedroom, approval has been sought and was sighted. </w:t>
            </w:r>
          </w:p>
          <w:p w:rsidR="00EB7645" w:rsidRPr="00BE00C7" w:rsidP="00BE00C7">
            <w:pPr>
              <w:pStyle w:val="OutcomeDescription"/>
              <w:spacing w:before="120" w:after="120"/>
              <w:rPr>
                <w:rFonts w:cs="Arial"/>
                <w:b w:val="0"/>
                <w:lang w:eastAsia="en-NZ"/>
              </w:rPr>
            </w:pPr>
            <w:r w:rsidRPr="00BE00C7">
              <w:rPr>
                <w:rFonts w:cs="Arial"/>
                <w:b w:val="0"/>
                <w:lang w:eastAsia="en-NZ"/>
              </w:rPr>
              <w:t>Rooms are personalised with furnishings, photos and other personal items displayed.</w:t>
            </w:r>
          </w:p>
          <w:p w:rsidR="00EB7645" w:rsidRPr="00BE00C7" w:rsidP="00BE00C7">
            <w:pPr>
              <w:pStyle w:val="OutcomeDescription"/>
              <w:spacing w:before="120" w:after="120"/>
              <w:rPr>
                <w:rFonts w:cs="Arial"/>
                <w:b w:val="0"/>
                <w:lang w:eastAsia="en-NZ"/>
              </w:rPr>
            </w:pPr>
            <w:r w:rsidRPr="00BE00C7">
              <w:rPr>
                <w:rFonts w:cs="Arial"/>
                <w:b w:val="0"/>
                <w:lang w:eastAsia="en-NZ"/>
              </w:rPr>
              <w:t>There is space to store mobility aids, wheelchairs and mobility scooters.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 dining and lounge areas are spacious and enable easy access for residents and staff. Residents can access areas for privacy, if required. Furniture is appropriate to the setting and residents’ needs. There is consideration of their compatibility with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Laundry is undertaken onsite in a dedicated laundry by dedicated staff members. Family members will take specific items home for special laundering. If requested this is preferred.  Dedicated laundry staff demonstrated a sound knowledge of the laundry processes, dirty/clean flow and handling of soiled linen. </w:t>
            </w:r>
          </w:p>
          <w:p w:rsidR="00EB7645" w:rsidRPr="00BE00C7" w:rsidP="00BE00C7">
            <w:pPr>
              <w:pStyle w:val="OutcomeDescription"/>
              <w:spacing w:before="120" w:after="120"/>
              <w:rPr>
                <w:rFonts w:cs="Arial"/>
                <w:b w:val="0"/>
                <w:lang w:eastAsia="en-NZ"/>
              </w:rPr>
            </w:pPr>
            <w:r w:rsidRPr="00BE00C7">
              <w:rPr>
                <w:rFonts w:cs="Arial"/>
                <w:b w:val="0"/>
                <w:lang w:eastAsia="en-NZ"/>
              </w:rPr>
              <w:t>Post-admission survey feedback noted that laundry is managed well, and residents’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designated cleaning and laundry team have received appropriate training.  This includes the use of the new cleaning products, infection prevention and control and training on the Code. Cleaning and laundry protocols are documented and there is a task list for each position. The staff members who were interviewed confirmed that these protocols are followed, and review of training records confirmed completion of required training.  </w:t>
            </w:r>
          </w:p>
          <w:p w:rsidR="00EB7645" w:rsidRPr="00BE00C7" w:rsidP="00BE00C7">
            <w:pPr>
              <w:pStyle w:val="OutcomeDescription"/>
              <w:spacing w:before="120" w:after="120"/>
              <w:rPr>
                <w:rFonts w:cs="Arial"/>
                <w:b w:val="0"/>
                <w:lang w:eastAsia="en-NZ"/>
              </w:rPr>
            </w:pPr>
            <w:r w:rsidRPr="00BE00C7">
              <w:rPr>
                <w:rFonts w:cs="Arial"/>
                <w:b w:val="0"/>
                <w:lang w:eastAsia="en-NZ"/>
              </w:rPr>
              <w:t>Chemicals were stored in secure locations and were in appropriately labelled containers. Cleaning and laundry processes are monitored through the internal audit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guidelines for emergency planning, preparation and response were displayed and known to staff. There is an emergency management plan based on civil defence planning which directs the facility in their preparation for disasters. This plan describes the procedures to be followed in the event of a fire or other emergency. </w:t>
            </w:r>
          </w:p>
          <w:p w:rsidR="00EB7645" w:rsidRPr="00BE00C7" w:rsidP="00BE00C7">
            <w:pPr>
              <w:pStyle w:val="OutcomeDescription"/>
              <w:spacing w:before="120" w:after="120"/>
              <w:rPr>
                <w:rFonts w:cs="Arial"/>
                <w:b w:val="0"/>
                <w:lang w:eastAsia="en-NZ"/>
              </w:rPr>
            </w:pPr>
            <w:r w:rsidRPr="00BE00C7">
              <w:rPr>
                <w:rFonts w:cs="Arial"/>
                <w:b w:val="0"/>
                <w:lang w:eastAsia="en-NZ"/>
              </w:rPr>
              <w:t>The current fire evacuation plan was approved by the New Zealand Fire Service on the 25 September 2006.  A trial evacuation takes place six-monthly with a copy sent to the New Zealand Fire Service, the most recent being on 28th May 2021.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BBQs were sighted and meet the National Emergency Management Agency recommendations for the region.  Water storage tanks are located around the complex. The facility has a relationship with the local volunteer fire brigade, and this is part of their emergency plan.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alert staff to residents requiring assistance. The call bell system has been upgraded so that the two systems are now connected, and the emergency call bell has a different tone and can be heard throughout the facility. The new owner has also had larger screens installed for the call system. </w:t>
            </w:r>
          </w:p>
          <w:p w:rsidR="00EB7645" w:rsidRPr="00BE00C7" w:rsidP="00BE00C7">
            <w:pPr>
              <w:pStyle w:val="OutcomeDescription"/>
              <w:spacing w:before="120" w:after="120"/>
              <w:rPr>
                <w:rFonts w:cs="Arial"/>
                <w:b w:val="0"/>
                <w:lang w:eastAsia="en-NZ"/>
              </w:rPr>
            </w:pPr>
            <w:r w:rsidRPr="00BE00C7">
              <w:rPr>
                <w:rFonts w:cs="Arial"/>
                <w:b w:val="0"/>
                <w:lang w:eastAsia="en-NZ"/>
              </w:rPr>
              <w:t>Staff members interviewed reported that the combination of these upgrades have significantly improved the call system. Call system audits are completed on a regular basis and residents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 and a security company checks the premises at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and communal areas are heated and ventilated appropriately. Rooms have natural light, opening external windows and wall-mounted electric heaters. </w:t>
            </w:r>
          </w:p>
          <w:p w:rsidR="00EB7645" w:rsidRPr="00BE00C7" w:rsidP="00BE00C7">
            <w:pPr>
              <w:pStyle w:val="OutcomeDescription"/>
              <w:spacing w:before="120" w:after="120"/>
              <w:rPr>
                <w:rFonts w:cs="Arial"/>
                <w:b w:val="0"/>
                <w:lang w:eastAsia="en-NZ"/>
              </w:rPr>
            </w:pPr>
            <w:r w:rsidRPr="00BE00C7">
              <w:rPr>
                <w:rFonts w:cs="Arial"/>
                <w:b w:val="0"/>
                <w:lang w:eastAsia="en-NZ"/>
              </w:rPr>
              <w:t>Heating is provided by heat pumps in the communal areas. Areas were an appropriate temperature and well ventilated throughout the audit and residents and families confirmed the facilities are maintained at a comfortable level of heat or ventilation, depending on the time of year.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Athenree implements an infection prevention and control programme which is appropriate for the size and complexity of the service.   A comprehensive and current infection control manual is available to staff and managers. There is evidence that formal reviews of the programme are completed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is the designated infection prevention and control co-ordinator (ICN), whose role and responsibilities are defined in a job description. Infection control matters, including surveillance results, are reported through to management. Infection prevention and control matters are also discussed at registered nurse meetings, staff handovers, staff meetings and ultimately at management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responsibilities and confirmed this had been further reinforced since the Covid-19 pandemic emerged with a documented process for each of the alert levels.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ICN has the appropriate skills, knowledge and qualifications for the role.  Additional support and information can be accessed from the infection control team at the DHB, the community laboratory, the GP and the public health unit,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There is a Covid-19 management plan in place which details all the actions required by the service streams within the facility in response to each of the alert levels.  The ICN and acting clinical manager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policies reflected the requirements of the IPC standard and current accepted good practice.  Policy review is ongoing and clearly documented on each policy the next review date.  Care delivery, cleaning, laundry and kitchen staff were observed following organisational policies, such as appropriate use of hand sanitisers, good handwashing technique and use of disposable aprons and gloves, as was appropriate to the setting.  Hand washing and sanitiser dispensers are distributed around the facility.  Staff interviewed verified knowledge of infection control policies and practices.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observation and documentation verified staff have received education on infection prevention and control at orientation and in ongoing education sessions.  Education is provided by suitably qualified RNs and the IPC coordinator.  Content of the training was documented and evaluated to ensure it is relevant, current and understood.  A record of attendance was maintained.  At the time of the audit there had been no infection outbreaks.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Evidence: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respiratory tract and skin infections.  When an infection is identified, a record of this is documented in the resident’s clinical record. The IPC coordinator reviews all reported infections, and these are documented.  New infections and any required management plans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at staff meetings and during shift handovers.  A good supply of personal protective equipment was available and Athenree has processes in place to manage the risks imposed by Covid-19.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this standard and provide guidance on the safe use of both restraints and enablers. There is a complete suite of policies and procedures available should restraint use be required. However, the clear philosophy of the facility is to explore all alternatives to the use of restraint and to safely support a resident with those alternatives.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Group’s overall clinical manager was interviewed as well as the Athenree restraint coordinator, who is new to this role. The overall clinical manager provides support and oversight for enabler and restraint management in the facility and demonstrated a sound understanding of the organisation’s policies, procedures and practice of restraint minimisation and safe practice. </w:t>
            </w:r>
          </w:p>
          <w:p w:rsidR="00EB7645" w:rsidRPr="00BE00C7" w:rsidP="00BE00C7">
            <w:pPr>
              <w:pStyle w:val="OutcomeDescription"/>
              <w:spacing w:before="120" w:after="120"/>
              <w:rPr>
                <w:rFonts w:cs="Arial"/>
                <w:b w:val="0"/>
                <w:lang w:eastAsia="en-NZ"/>
              </w:rPr>
            </w:pPr>
            <w:r w:rsidRPr="00BE00C7">
              <w:rPr>
                <w:rFonts w:cs="Arial"/>
                <w:b w:val="0"/>
                <w:lang w:eastAsia="en-NZ"/>
              </w:rPr>
              <w:t>At the beginning of 2021 there were three residents with restraints in place and now there are no residents using restraints. The file for one of the three residents who is still at the facility was reviewed. Alternatives to restraint have been trialled with the consent of the resident’s family and were successful. The resident had been using bed sides for safety. Now that they have been removed and use a low-low bed and sensor mat. They are no longer experiencing incidents caused by the bed rails. They are comfortable and safe in bed and have had no falls or other type of incident or accident. The other two residents who were using restraints at the beginning of 2021 died earlier in the year and so they were not part of the trial to reduce the use of restraints.</w:t>
            </w:r>
          </w:p>
          <w:p w:rsidR="00EB7645" w:rsidRPr="00BE00C7" w:rsidP="00BE00C7">
            <w:pPr>
              <w:pStyle w:val="OutcomeDescription"/>
              <w:spacing w:before="120" w:after="120"/>
              <w:rPr>
                <w:rFonts w:cs="Arial"/>
                <w:b w:val="0"/>
                <w:lang w:eastAsia="en-NZ"/>
              </w:rPr>
            </w:pPr>
            <w:r w:rsidRPr="00BE00C7">
              <w:rPr>
                <w:rFonts w:cs="Arial"/>
                <w:b w:val="0"/>
                <w:lang w:eastAsia="en-NZ"/>
              </w:rPr>
              <w:t>The use of restraints (when they have been in used in the past) and enablers is reported in the facility manager’s monthly report to the executive management team. Statistical information on the use of restraints and enablers was sighted during 2021, including the reduction in restraint use and the current absence of restraints in use at Athenree.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Athenree Life Limited - Athenree Life</w:t>
    </w:r>
    <w:bookmarkEnd w:id="58"/>
    <w:r>
      <w:rPr>
        <w:rFonts w:cs="Arial"/>
        <w:sz w:val="16"/>
        <w:szCs w:val="20"/>
      </w:rPr>
      <w:tab/>
      <w:t xml:space="preserve">Date of Audit: </w:t>
    </w:r>
    <w:bookmarkStart w:id="59" w:name="AuditStartDate1"/>
    <w:r>
      <w:rPr>
        <w:rFonts w:cs="Arial"/>
        <w:sz w:val="16"/>
        <w:szCs w:val="20"/>
      </w:rPr>
      <w:t>4 November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