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Accadia Manor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Accadia Manor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October 2021</w:t>
      </w:r>
      <w:bookmarkEnd w:id="7"/>
      <w:r w:rsidRPr="009418D4">
        <w:rPr>
          <w:rFonts w:cs="Arial"/>
        </w:rPr>
        <w:tab/>
        <w:t xml:space="preserve">End date: </w:t>
      </w:r>
      <w:bookmarkStart w:id="8" w:name="AuditEndDate"/>
      <w:r w:rsidR="00A4268A">
        <w:rPr>
          <w:rFonts w:cs="Arial"/>
        </w:rPr>
        <w:t>28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Accadia is part of the Bupa group.  The service is certified to provide rest home care (excluding dementia) for up to 29 residents.  On the day of audit there were 28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Bupa Accadia is managed by an experienced general manager who has been in the role for eleven months.  She is supported by an acting clinical manager (on secondment), Bupa regional quality partner and an operations manager.  Family and residents interviewed spoke positively about the care and support provided.</w:t>
      </w:r>
    </w:p>
    <w:p w:rsidRPr="00A4268A">
      <w:pPr>
        <w:spacing w:before="240" w:line="276" w:lineRule="auto"/>
        <w:rPr>
          <w:rFonts w:eastAsia="Calibri"/>
        </w:rPr>
      </w:pPr>
      <w:r w:rsidRPr="00A4268A">
        <w:rPr>
          <w:rFonts w:eastAsia="Calibri"/>
        </w:rPr>
        <w:t xml:space="preserve">There were no shortfalls identified during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Accadia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Evidence-based practice is evident, promoting and encouraging good practice.  There is evidence that residents and family are kept informed.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are well-developed systems, processes, policies, and procedures that are structured to provide appropriate quality care for people who live in the service.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A quality and risk management programme is established.  Interviews with staff, and review of meeting minutes demonstrate a culture of quality improvements.  Residents receive services from suitably qualified staff.  Human resources are managed in accordance with good employment practice.  An orientation programme is in place for new staff.  There is an in-service training calendar in place.  Registered nursing cover is provided eight hours per day, Monday to Friday.  There are a clinical manager and facility manager available on call 24/7 as part of the Bupa regional on call roster.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acting clinical manager and the registered nurse are responsible for undertaking all aspects of assessments, care planning and evaluation for all residents.  Care plans are developed in consultation with the family.  Care plans are individualised, based on a comprehensive range of information and include potential risks and related interventions.  Resident files included medical notes by the contracted general practitioner and visiting allied health professionals.  Residents are referred or transferred to other health services as required.</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An activities programme offers a variety of individual and group activities and meets the needs of the residents.  </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The service has a food safety plan.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Appropriate training, information, and equipment for responding to emergencies are provided.  There is an emergency management plan in place and adequate civil defence supplies in the event of an emergency.  At least one first aid trained staff member is on duty at all times, including on outings.    </w:t>
      </w:r>
    </w:p>
    <w:p w:rsidRPr="00A4268A">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 building holds a current building warrant of fitness. </w:t>
      </w:r>
    </w:p>
    <w:p w:rsidRPr="00A4268A">
      <w:pPr>
        <w:spacing w:before="240" w:line="276" w:lineRule="auto"/>
        <w:rPr>
          <w:rFonts w:eastAsia="Calibri"/>
        </w:rPr>
      </w:pPr>
      <w:r w:rsidRPr="00A4268A">
        <w:rPr>
          <w:rFonts w:eastAsia="Calibri"/>
        </w:rPr>
        <w:t xml:space="preserve">Electrical equipment has been tested and tagged.  All medical equipment including the hoist have been serviced and calibrated.  Residents can freely mobilise within the communal areas with safe access to the outdoors, seating, and shade.  Fixtures, fittings, and flooring are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At the time of audit there were no residents using restraints or enablers.  The approval process for restraint use includes ensuring the environment is appropriate and safe.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(clinical manager)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have been two respiratory outbreaks since the previous audit which were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87"/>
        <w:gridCol w:w="1280"/>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in English and in Māori.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eight staff (two caregivers on the AM and PM shifts, one registered nurse (RN), one kitchen manager, one cleaner, one maintenance officer, one administrator, and one activities coordinator) confirmed their understanding of the key principles of the Code and its application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familiar with the requirements to obtain informed consent for personal care and day-to-day activities.  </w:t>
            </w:r>
          </w:p>
          <w:p w:rsidR="00EB7645" w:rsidRPr="00BE00C7" w:rsidP="00BE00C7">
            <w:pPr>
              <w:pStyle w:val="OutcomeDescription"/>
              <w:spacing w:before="120" w:after="120"/>
              <w:rPr>
                <w:rFonts w:cs="Arial"/>
                <w:b w:val="0"/>
                <w:lang w:eastAsia="en-NZ"/>
              </w:rPr>
            </w:pPr>
            <w:r w:rsidRPr="00BE00C7">
              <w:rPr>
                <w:rFonts w:cs="Arial"/>
                <w:b w:val="0"/>
                <w:lang w:eastAsia="en-NZ"/>
              </w:rPr>
              <w:t>Clinical files reviewed showed that general informed consent for care has been gained appropriately using the Bupa’s consent forms.  Consents were also sighted for specific procedures such as influenza vaccine and Covid-19 vaccination, media consent, van outings and wound photo charts.  Staff were observed to gain consent for day-to-day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if known were on the resident files.  Copies of enduring power of attorney (EPOA) were in resident files as appropriate.  Advance care planning, establishing and documenting EPOA requirements and processes for residents who are unable to consent is defined and documented, as relevant, in the resident’s record.  There was evidence in files reviewed of family/EPOA discussion with the GP for a medically indicated not for resuscitation status.  Discussions with relatives demonstrated they are involved in the decision-making process, and in the planning of resident’s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Resident/family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general manager maintains a record of all complaints, both verbal and written, by using an electronic complaint register.  Discussions with residents and relatives confirmed they are provided with information on complaints and complaints forms.  Complaints forms are also located in a visible location at the entrance to the facility, next to a suggestions box.  Two complaints have been received in 2021 (year-to-date) and were reviewed in detail.  Timescales for acknowledgement, investigation and resolution were adhered to.  Meeting minutes evidenced staff are informed of complaints and correct actions.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managers (general manager, acting clinical manager) and RNs discuss aspects of the Code with residents and their family on admission.  Discussions relating to the Code are also held during the monthly resident/family meetings.  Interviews with four residents and three relatives confirmed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confirmed in interviews with care staff, residents, and family, and during observations.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are gathered on admission with family involvement and are integrated into the residents' care plans.  Spiritual needs are identified.  There is a policy on abuse and neglect and staff receive regular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residents who identified as Māori at the time of the audit, however staff interviewed could describe how Māori values and beliefs are identified in resident care plans and map of life.  They also confirmed that they are aware of the importance of whānau in the delivery of care for Māori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the local DHB Māori lead.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are involved in developing the resident’s plan of care, which includes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on morning shift, seven days a week.  A general practitioner (GP) visits the facility fortnightly and as needed.  The GP reviews residents identified as stable every three months, with more frequent visits for those residents whose condition is not deemed stable.  Physiotherapy services are provided by referral as required.  A podiatrist visits regularly.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relatively new management team in place.  The general manager has extensive experience in health and disability management and the acting clinical manager is a registered nurse (RN) with nineteen years of aged care experience.  Recent improvements in the care home have included refurbishment projects throughout the facility including new carpets.  Feedback from a recent staff survey highlighted improvements in staff engagement, empowerment, and perceived management support (an increase of 18% from 2020).  Resident surveys show consistently high results in overall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that family are kept informed.  Relatives interviewed stated that they are kept informed when their family member’s health status changes or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are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received regular communication and updates regarding Covid-19 levels, restrictions, and associated infection control measures.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Accadia is an aged residential care facility that provides care for up to 29 residents at rest home level of care.  On the day of the audit there were 28 residents.  All residents were under the age-related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Annual goals for the facility have been determined, which link to the overarching Bupa strategic plan and these goals are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for eleven months and has eight years’ experience in health care management.  The acting clinical manager was seconded to cover maternity leave appointed in August 2021 and has nineteen years of nursing experience in aged care.  Staff spoke positively about the support and direction provided by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acting clinical manager have maintained over eight hours annually of professional development activities related to management and aged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acting clinical manager, who is employed full time, is the second in charge with additional support provided by the Bupa operations manager and regional quality partner.  A senior registered nurse covers the clinical role of the clinical manager in her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established and embedded into practice.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managers and staff reflect their understanding of the quality and risk management systems.  The monthly monitoring and collation of quality and risk data includes (but is not limited to) resident falls, infection rates, complaints received, restraint use, pressure areas, wounds, and medication errors.  Trends and the analyses of quality and risk data are available electronically (on RiskMan) and are utilised for quality improvement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with evidence of internal audits occurring as per the audit schedule and corrective actions being implemented when service shortfalls are identified and signed off when completed.  Corrective actions are addressed in a timely manner and communicated to staff as evidenced in the meeting minutes. An annual satisfaction survey is completed.  The 2020 results reflect a high level of resident satisfaction continuing on from the 2019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 health and safety team meet monthly.  Staff undergo annual health and safety training which begins during their orientation.  Contractors are required to be inducted into the facility and sign a health and safety information sheet when this has been completed.  The hazard register is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The general manager has established a falls prevention committee which meets monthly to discuss strategies to achieve the desired 20% reduction in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Incidents are coded in severity.  All resident incidents logged with a high severity are immediately escalated to the Bupa head office and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(four skin tears, six falls, two infections and three bruises).  Each event involving a resident reflected a clinical assessment and follow-up by a RN.  All unwitnessed falls had consistent evidence of routine neurological observations over a 24-hour timeframe.  </w:t>
            </w:r>
          </w:p>
          <w:p w:rsidR="00EB7645" w:rsidRPr="00BE00C7" w:rsidP="00BE00C7">
            <w:pPr>
              <w:pStyle w:val="OutcomeDescription"/>
              <w:spacing w:before="120" w:after="120"/>
              <w:rPr>
                <w:rFonts w:cs="Arial"/>
                <w:b w:val="0"/>
                <w:lang w:eastAsia="en-NZ"/>
              </w:rPr>
            </w:pPr>
            <w:r w:rsidRPr="00BE00C7">
              <w:rPr>
                <w:rFonts w:cs="Arial"/>
                <w:b w:val="0"/>
                <w:lang w:eastAsia="en-NZ"/>
              </w:rPr>
              <w:t>The managers were aware of their requirement to notify relevant authorities in relation to essential notifications.  Section 31 notifications made since the last audit include notification of a new general manager, acting clinical manager and two outbreaks.  Public health authorities were notified for the two respiratory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reviewed (one housekeeper, one maintenance, one kitchen manager, one caregiver and one activities coordinator) reflected evidence of implementation of the recruitment process, signed employment contracts and signed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with more experienced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in place that addresses all required areas.  In-services are now being provided as a full day of training which has improved staff attendance from the previous year.  Staff files reviewed indicated that they have achieved a minimum of eight hours annually of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RNs have completed their interRAI training.  There are six level 4 senior caregivers, with another two working on level 4 currently.  All other caregivers are level 2. </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with different requirements according to work type (e.g., support work, registered nurse, and cleaner).  Core competencies are completed annually, and a record of completion is maintained.  RN competencies include assessment tools, BSLs/insulin administration, CD administration, moving &amp; handling, nebuliser, oxygen administration, PEG tube care/feeds, restraint, wound management, CPR,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performance appraisals are completed and up to date with the current annual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interviewed confirmed they received regular communication and updates regarding Covid-19 levels, restrictions, and associated infection control measures along with regular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that determines staffing levels and skill mix for safe service delivery.  The staff roster provides sufficient and appropriate coverage for the effective delivery of care and support.  Current staffing levels reflect a full complement of RNs and caregivers.  The acting clinical manager/RN and general manager (non-clinical) are rostered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duty on the morning shift (0645-1500) five days per week and the clinical manager works 0730-1600 on weekdays.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caregivers for the AM shift (one 0645-1500 and one 0645-1330) Monday to Friday.  This increases on the weekends to three caregivers (two for 0645-1500 and one 0645-1100).  Two caregivers are rostered for the PM shift (one 1445-1500 and one 1545-2300).  There are two caregivers are rostered for the night shift (2245-0700).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on-call schedule is shared with four other Bupa care facilities.  The general manager is on call approximately once every two months for non-clinical related issues and the acting clinical manager is also on call approximately once every two months.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at all times.  Staff stated they feel supported by the RN, acting clinical manager and general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files (RiskMan) are backed up using cloud-based technology.  Residents’ files demonstrated service integration.  Entries are legible, timed, dated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Residents enter the service when their required level of care has been assessed and confirmed by the local Needs Assessment and Service Coordination Service.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r w:rsidRPr="00BE00C7">
              <w:rPr>
                <w:rFonts w:cs="Arial"/>
                <w:b w:val="0"/>
                <w:lang w:eastAsia="en-NZ"/>
              </w:rPr>
              <w:t>One of the files reviewed had recent admission to the public hospital.  A discharge report was obtained upon re-admission to the service, and this was filed in the resident’s file.  All appropriate follow ups were completed including the next GP review timeframe, medication reconciliation upon arrival to the service, follow-up lab tests and re-appointment schedule to visit a specialist.  Document review evidenced that these were all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three residents fully self-administering on the day of audit and a fourth resident was self-administering their inhalers.  All policies and procedures had been adhered to.  Those residents had a current medication administration competency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The RN, acting clinical manager and senior medication competent caregivers administer medications.  All staff have up-to-date medication competencies.  The medication fridge and room temperature are checked daily.  Eye drops are dated once opened.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Twelve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securely in accordance with requirements. Documentation around administration of medications was completed as per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team consisting of kitchen manager, weekend cook and three kitchen assistants and is in line with recognised nutritional guidelines for older people.  The menu follows summer and winter patterns and has been reviewed by a qualified dietitian.</w:t>
            </w:r>
          </w:p>
          <w:p w:rsidR="00EB7645" w:rsidRPr="00BE00C7" w:rsidP="00BE00C7">
            <w:pPr>
              <w:pStyle w:val="OutcomeDescription"/>
              <w:spacing w:before="120" w:after="120"/>
              <w:rPr>
                <w:rFonts w:cs="Arial"/>
                <w:b w:val="0"/>
                <w:lang w:eastAsia="en-NZ"/>
              </w:rPr>
            </w:pPr>
            <w:r w:rsidRPr="00BE00C7">
              <w:rPr>
                <w:rFonts w:cs="Arial"/>
                <w:b w:val="0"/>
                <w:lang w:eastAsia="en-NZ"/>
              </w:rPr>
              <w:t>There is a well-equipped kitchen, and all meals are cooked on site.  Meals are served in the dining room from a bain marie.  The kitchen also prepares and serves meals for 14 residents from the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which is effective until 22 September 2022.  Food temperatures are monitored appropriately and recorded as part of the plan.  The kitchen manager has a Royal Public Health &amp; Hygiene certificate and City &amp; Guilds certificate 7061 and 7062.  All kitchen staff have completed hazard and chemical training.  The kitchen manager attended Bupa Management Essential training this year.  The kitchen manager and one of the kitchen assistants are part of the health and safety committee.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fridge/chiller, freezer, inward goods, end-cooked and bain maire temperatures are taken and recorded daily.  Perishable foods sighted in the kitchen and dining room fridge were dated.  The dishwasher is checked regularly by the chemical supplier.  Chemicals are stored safely.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along with direct input from residents, provide resident feedback on the meals and food services generally.  Residents and family members interviewed were satisfied with the food and confirmed alternative food choices were offered for dislikes.  The food services audit shows 98% compliance.  Residents and families reported a level of 7.3/10 in food satisfaction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family.  Examples of this occurring were discussed.  On the day of audit, one resident was assessed for hospital level care and was transferred to another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residents whose files were sampled.  Overall, the goals were identified through the assessment process and linked to care plan interventions.  Other assessment tools in use included (but were not limited to): a) nutrition, b) pain, c) falls, d) skin, e) activities, f) cultural assessment, g) continence.   Additional risk assessment tools include behaviour and wound assessments as applicable.  The outcomes of risk assessments are reflected in the care plan.  Residents and families interviewed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six files reviewed, the care plans were comprehensive and addressed the resident need.  Care plans evidenced service integration with progress notes, activities notes, medical and allied health professionals’ notes.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reported participation in the development and ongoing evaluation of care plans.  In all files reviewed there was evidence of relative/EPOA/welfare guardian involvement in care planning.  Care plans reviewed provided evidence of individualised support.  Short-term care plans are in use for short-term needs and changes in health status.  Caregivers interviewed stated that the care plans were easy to follow, and short-term residents care needs changes communicated both verbally on relevant staff and through written and verbal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and the acting clinical manager complete care plans for residents.  Progress notes in all six files reviewed had detailed progress which reflected the interventions detailed in the long-term care plans.  When a resident’s condition changes, the acting clinical manager initiates a GP consultation.  Staff stated that they notify family members about any changes in their relative’s health status and family interviewed confirmed this.  There was documented evidence of relative contact for any changes to resident health status on the family/whānau contact form held in the residents’ files.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an electronic register and written in the progress notes.  Neurological observations are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Care staff interviewed stated there are adequate clinical supplies and equipment provided including continence and wound care supplies.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documented, and wound monitoring occurs as planned.  There are currently 15 wounds which includes minor skin tears and bruises which were closely monitored.  There also were two cellulitis, one chronic ulcer, and two skin lesions.  The chronic wound has had input from the GP.  All wound documentation reviewed were fully completed.  Assessment and wound treatment plans were followed up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experienced activities coordinator.  She is on duty from 0900 – 1600 Monday to Thursday and 0900 to 1530 on Fridays.  The caregivers coordinate set activities in the weekends.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activities programmes are displayed around the facility and on noticeboards.  Residents who do not participate regularly in the group activities, are visited for one-on-one sessions.  All interactions observed on the day of the audit evidenced engagement between residents and the activity coordinator.  Activities offered reflected residents’ goals, ordinary patterns of life and were age appropriate.  The activity programme is broken down into physical, cognitive, creative, and social activities.  Residents’ participation in activities were recorded, which includes spectrum from active participation to limited activity. </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 Map of Life developed on admission.  The Map of Life includes previous careers, hobbies, life accomplishments and interests which forms the basis of the activities plan.  Socialising and activities are included in the My Day, My Way care plan.  The activity coordinator is involved in the six-monthly review.  The service receives feedback and suggestions for the programme through surveys and resident meetings.  Residents and relatives interviewed commented positively on the activity programme and outings.  There are outings at least twice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Covid-19 pandemic, community involvement was closely monitored and included health screening on entry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 plans reviewed had been evaluated by the RN or acting clinical manager at least six monthly and most often earlier, when changes to care occurs.  A written evaluation is completed that describes progress to meeting goals.  Where the evaluation reflects change in health status or usual activities this is updated in the care plan.  Residents’ care is also evaluated on each shift and reported in the progress notes.  If any change is noted, it is reported to the RN or the acting clinical manager and required follow-up is completed.  Short-term care plans for short-term needs are evaluated and signed off as resolved or added to the long-term care plan as an ongoing problem.  Activities plans are in place for each of the residents and these are also evaluated six-monthly.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contracted GP service, residents may choose to use another medical practitioner. There were three other GPs who provide medical services to the home.  If the need arises either the resident’s GP or the acting clinical manager sends referrals to seek specialist input.  </w:t>
            </w:r>
          </w:p>
          <w:p w:rsidR="00EB7645" w:rsidRPr="00BE00C7" w:rsidP="00BE00C7">
            <w:pPr>
              <w:pStyle w:val="OutcomeDescription"/>
              <w:spacing w:before="120" w:after="120"/>
              <w:rPr>
                <w:rFonts w:cs="Arial"/>
                <w:b w:val="0"/>
                <w:lang w:eastAsia="en-NZ"/>
              </w:rPr>
            </w:pPr>
            <w:r w:rsidRPr="00BE00C7">
              <w:rPr>
                <w:rFonts w:cs="Arial"/>
                <w:b w:val="0"/>
                <w:lang w:eastAsia="en-NZ"/>
              </w:rPr>
              <w:t>Referral documentation and consultation records are maintained on resident files.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had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14 December 2021.  A request book for repairs is maintained and signed off as repairs are completed.  There is a part-time maintenance officer who carries out the 52-week planned maintenance programme.  The checking and calibration of medical equipment including hoist, has been completed annually.  All electrical equipment has been tested and tagged.  Hot water temperatures have been tested (randomly)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paved and landscaped.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 interviewed stated that they have all the equipment required to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their own full ensuite bathroom.  There are adequate visitor and staff toilet facilities available.  Communal toilets have appropriate signage and privacy locks.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monitored, and temperatures are maintained at or below 45 degrees Celsius.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main lounge, dining room and library area.  The library, lounge and dining room are accessible and accommodate the equipment required for the residents.  The lounge and dining area are large enough to cater for activities.  Residents are able to move freely through and around these areas and furniture is placed to facilitate this.  Residents were seen to be moving freely both with and without assistance throughout the audit.  There are private seating areas if residents wish to have some quiet time or speak privately with friends or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and entry and exit doors.  All linen and personal clothing is laundered on site.  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Emergencies, first aid and CPR are included in the mandatory in-service programme.  At least one staff member is on duty at all times with a current first aid certificate.  Fire evacuation drills take place every six months (last 21 June 2021).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food supplies sufficient for three days are kept in the kitchen.  Extra blankets are available.  There are civil defence kits that are regularly checked.  There is water stored (800 litre tank plus bottled) to ensure a minimum of four litres per day for three days per resident.  </w:t>
            </w:r>
          </w:p>
          <w:p w:rsidR="00EB7645" w:rsidRPr="00BE00C7" w:rsidP="00BE00C7">
            <w:pPr>
              <w:pStyle w:val="OutcomeDescription"/>
              <w:spacing w:before="120" w:after="120"/>
              <w:rPr>
                <w:rFonts w:cs="Arial"/>
                <w:b w:val="0"/>
                <w:lang w:eastAsia="en-NZ"/>
              </w:rPr>
            </w:pPr>
            <w:r w:rsidRPr="00BE00C7">
              <w:rPr>
                <w:rFonts w:cs="Arial"/>
                <w:b w:val="0"/>
                <w:lang w:eastAsia="en-NZ"/>
              </w:rPr>
              <w:t>Call bells were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the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underfloor central heating that is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manager) is responsible for infection control across the facility.  The infection control committee and the Bupa governing body is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have received both doses of the Pfizer Covid-19 vaccine with staff vaccination ongoing in conjunction with the local DHB.  Residents and staff are offered the influenza vaccine.  Covid-19 scanning/manual sign in is mandatory on entry to the facility and the use of face masks is required as part of level 2 restrictions.  Covid-19 education has been provided for all staff, including hand hygiene and use of PPE.  Bupa has monthly infection control teleconferences for information, education, and discussion and Covid updates should matters arise in-between scheduled meeting times.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outbreaks (respiratory) in 2021 which were appropriately managed and included liaison with the local DHB.  Public health authorities were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Accadia.  The infection control committee meet monthly and then feed into staff, clinical and quality meetings.  The IC coordinator has completed training in infection control.  External resources and support are available through the Bupa quality &amp; risk team, external specialists, microbiologist, GP, wound nurse specialist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and all staff working in care have received both doses of the Pfizer Covid-19 vaccine.  Residents and staff are offered the influenza vaccine.  Covid-19 scanning/manual sign in is mandatory on entry to the facility and the use of face masks is required as part of level 2 restrictions.  Covid-19 education has been provided for all staff, including hand hygiene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restraint coordinator (clinical manager), RN and care staff confirmed their understanding of restraints and enablers.  At the time of the audit, the service had no residents using any restraints or enablers.  Bupa Accadia is classed by Bupa as being restraint free, having had no restraints or enablers for at least six months.  Staff training is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Accadia Manor Rest Home</w:t>
    </w:r>
    <w:bookmarkEnd w:id="58"/>
    <w:r>
      <w:rPr>
        <w:rFonts w:cs="Arial"/>
        <w:sz w:val="16"/>
        <w:szCs w:val="20"/>
      </w:rPr>
      <w:tab/>
      <w:t xml:space="preserve">Date of Audit: </w:t>
    </w:r>
    <w:bookmarkStart w:id="59" w:name="AuditStartDate1"/>
    <w:r>
      <w:rPr>
        <w:rFonts w:cs="Arial"/>
        <w:sz w:val="16"/>
        <w:szCs w:val="20"/>
      </w:rPr>
      <w:t>27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