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Services Otago Incorporated - Holmdene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Otago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Holmdene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October 2021</w:t>
      </w:r>
      <w:bookmarkEnd w:id="7"/>
      <w:r w:rsidRPr="009418D4">
        <w:rPr>
          <w:rFonts w:cs="Arial"/>
        </w:rPr>
        <w:tab/>
        <w:t xml:space="preserve">End date: </w:t>
      </w:r>
      <w:bookmarkStart w:id="8" w:name="AuditEndDate"/>
      <w:r w:rsidR="00A4268A">
        <w:rPr>
          <w:rFonts w:cs="Arial"/>
        </w:rPr>
        <w:t>19 October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Holmdene Rest Home is part of the Presbyterian Support Services Otago group of aged care facilities. The care facility has a total of 35 beds suitable for rest home and hospital level care. On the day of audit there were 33 residents, </w:t>
      </w:r>
    </w:p>
    <w:p w:rsidRPr="00A4268A">
      <w:pPr>
        <w:spacing w:before="240" w:line="276" w:lineRule="auto"/>
        <w:rPr>
          <w:rFonts w:eastAsia="Calibri"/>
        </w:rPr>
      </w:pPr>
      <w:r w:rsidRPr="00A4268A">
        <w:rPr>
          <w:rFonts w:eastAsia="Calibri"/>
        </w:rPr>
        <w:t xml:space="preserve">This surveillance audit was conducted against the relevant Health and Disability standards and the contract with the district health board. The audit process included the review of residents’ and staff files, observations, and interviews with residents, a relative, staff, management, and a general practitioner. </w:t>
      </w:r>
    </w:p>
    <w:p w:rsidRPr="00A4268A">
      <w:pPr>
        <w:spacing w:before="240" w:line="276" w:lineRule="auto"/>
        <w:rPr>
          <w:rFonts w:eastAsia="Calibri"/>
        </w:rPr>
      </w:pPr>
      <w:r w:rsidRPr="00A4268A">
        <w:rPr>
          <w:rFonts w:eastAsia="Calibri"/>
        </w:rPr>
        <w:t>The facility manager is a registered nurse who has been in this role for one year and is an experienced registered nurse and clinical manager. The facility manager is supported by a clinical coordinator/RN. Support from the central office includes a quality advisor and clinical nurse advisor, Enliven Administrator and the Director of Enliven services</w:t>
      </w:r>
    </w:p>
    <w:p w:rsidRPr="00A4268A">
      <w:pPr>
        <w:spacing w:before="240" w:line="276" w:lineRule="auto"/>
        <w:rPr>
          <w:rFonts w:eastAsia="Calibri"/>
        </w:rPr>
      </w:pPr>
      <w:r w:rsidRPr="00A4268A">
        <w:rPr>
          <w:rFonts w:eastAsia="Calibri"/>
        </w:rPr>
        <w:t xml:space="preserve">There are well-developed systems, processes, policies, and procedures that are structured to provide appropriate quality care for people who use the service, including residents that require hospital/medical, and rest home level care. Implementation is supported through the PSO quality and risk management programme that is individualised to Holmdene Rest Home. </w:t>
      </w:r>
    </w:p>
    <w:p w:rsidRPr="00A4268A">
      <w:pPr>
        <w:spacing w:before="240" w:line="276" w:lineRule="auto"/>
        <w:rPr>
          <w:rFonts w:eastAsia="Calibri"/>
        </w:rPr>
      </w:pPr>
      <w:r w:rsidRPr="00A4268A">
        <w:rPr>
          <w:rFonts w:eastAsia="Calibri"/>
        </w:rPr>
        <w:t xml:space="preserve">This audit identified one area requiring improvement around timeframes for completion of documentation. </w:t>
      </w:r>
    </w:p>
    <w:p w:rsidRPr="00A4268A">
      <w:pPr>
        <w:spacing w:before="240" w:line="276" w:lineRule="auto"/>
        <w:rPr>
          <w:rFonts w:eastAsia="Calibri"/>
        </w:rPr>
      </w:pPr>
      <w:r w:rsidRPr="00A4268A">
        <w:rPr>
          <w:rFonts w:eastAsia="Calibri"/>
        </w:rPr>
        <w:t>Two previous findings relating to monitoring documentation and hot water temperatures have been met.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are implemented to support residents’ rights, communication, and complaints management.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facility manager is supported by a clinical coordinator, registered nurses, care workers and support staff. The quality and risk management programme includes a service philosophy, goals and a quality and risk management programme. Quality activities generate improvements in practice and service delivery. Meetings are held to discuss quality and risk management processes and results. Resident and family meetings are held, and satisfaction is monitored via annual satisfaction surveys. Health and safety policies, systems and processes are implemented to manage risk. Incidents and accidents are reported and investigated. A comprehensive education and training programme is implemented with a current plan in place. Appropriate employment processes are adhered to. There is a roster that provides sufficient and appropriate staff cover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 comprehensive admission package available prior to or on entry to the service. The registered nurses are responsible for each stage of service provision. The registered nurses assess, plan and review residents' needs, outcomes, and goals with the resident and/or family/whānau input. Care plans reviewed in resident records demonstrated service integration.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The registered nurses and medication competent care workers are responsible for administration of medicines and complete annual education and medication competencies. The medicine charts reviewed met legislative prescribing requirements and were reviewed at least three-monthly by the general practitioner. </w:t>
      </w:r>
    </w:p>
    <w:p w:rsidRPr="00A4268A" w:rsidP="00621629">
      <w:pPr>
        <w:spacing w:before="240" w:line="276" w:lineRule="auto"/>
        <w:rPr>
          <w:rFonts w:eastAsia="Calibri"/>
        </w:rPr>
      </w:pPr>
      <w:r w:rsidRPr="00A4268A">
        <w:rPr>
          <w:rFonts w:eastAsia="Calibri"/>
        </w:rPr>
        <w:t xml:space="preserve">The activities coordinator provides and implements an interesting and varied activity programme. The programme includes community visitors and outings when Covid alert levels allow. Entertainment and activities are provided to meet the individual recreational, physical, cultural, and cognitive abilities and preferences for each resident group.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Maintenance is undertaken on a scheduled and as required basis. Hot water temperatures are monitored.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On the day of audit there was one resident using restraint and no residents with an enabler.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coordinator uses the information obtained through surveillance to determine infection control activities, resources and education needs within the facility. This includes audits of the facility, hand hygiene and surveillance of infection control events and infections. Staff receive ongoing training in infection control. Covid-19 alert level plans are in place and the service has sufficient supplies of PPE on hand.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49"/>
        <w:gridCol w:w="1280"/>
        <w:gridCol w:w="102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describes the management of the complaints process. Complaints forms are available at reception. Information about complaints is provided on admission. Interviews with residents and family demonstrated their understanding of the complaints process. All staff interviewed (three care workers, two registered nurses, one administrator, one kitchen manager and one activities coordinator) were able to describe the process around reporting complaints as were the managers (clinical coordinator and PSO clinical advisor).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One complaint has been lodged in 2021 (year to date) and none for 2020. The 2021 care-related complaint has been responded to, investigated, and resolved to the satisfaction of the complainant.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are linked to the quality and risk management system. Discussions with residents and relative confirmed that any issues are addressed and that they feel comfortable to bring up any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not been any complaints lodged by external providers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residents (two rest home and four hospital) interviewed stated they were welcomed on entry and were given time and explanation about the services and procedures. Accident/incidents, complaints procedures and the policy and process around open disclosure alert staff to their responsibility to notify family/next of kin of any accident/incident and ensure full and frank open disclosure occurs. A record of family communication is indicated by a specific progress note documented in each resident’s file.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incidents/accidents forms selected for review indicated that family were informed. One family member interviewed confirmed they are notified of any changes in their family member’s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available if needed. Staff and family are utilised in the first instance.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Holmdene Rest Home (referred to in the report as Holmdene) is part of the Presbyterian Support Services Otago (PSO) group of aged care facilities. The care facility has a total of 35 beds suitable for rest home and hospital level care (including medical). All of the beds are dual-service beds (hospital and rest home).</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there were 12 rest home level residents and 21 hospital level residents. All residents were funded through the Age-Related Residential Care Agreement (ARRC).</w:t>
            </w:r>
          </w:p>
          <w:p w:rsidR="00EB7645" w:rsidRPr="00BE00C7" w:rsidP="00BE00C7">
            <w:pPr>
              <w:pStyle w:val="OutcomeDescription"/>
              <w:spacing w:before="120" w:after="120"/>
              <w:rPr>
                <w:rFonts w:cs="Arial"/>
                <w:b w:val="0"/>
                <w:lang w:eastAsia="en-NZ"/>
              </w:rPr>
            </w:pPr>
            <w:r w:rsidRPr="00BE00C7">
              <w:rPr>
                <w:rFonts w:cs="Arial"/>
                <w:b w:val="0"/>
                <w:lang w:eastAsia="en-NZ"/>
              </w:rPr>
              <w:t>Presbyterian Support Otago has a current strategic plan, a business plan, and a quality plan for 2021/2022. There is a Holmdene specific quality plan that links to the organisational plan. Holmdene quality plans include continuing with benchmarking data, decreasing incidence of pressure injuries, improving the tea meal time, and decreasing skin infections. Additional plans include training and staff development, as well as improving resident satisfaction. Achievement towards goals is included in a monthly report to the PSO quality advisor.</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a registered nurse who has experience in management and aged care and has been in the role since September 2020. The facility manager was unavailable during the audit. She is supported by a clinical coordinator. The clinical coordinator is a registered nurse, who has been in the position for two years. The facility manager has maintained at least eight hours annually of professional development activities related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in place and well embedded in practice. Interviews with the clinical coordinator and staff confirmed their understanding of the quality and risk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 good level of assurance that the facility is meeting accepted good practice and adhering to relevant standards - including those standards relating to the Health and Disability Services (Safety) Act 2001. A document control system is in place. Policies are regularly reviewed. New policies or changes to policy are communicated to staff,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Data collected (eg, falls, medication errors, wounds, skin tears, pressure injuries, complaints, challenging behaviours) are collated and analysed with results communicated to staff. Corrective actions are implemented where benchmarked data exceeds targets.</w:t>
            </w:r>
          </w:p>
          <w:p w:rsidR="00EB7645" w:rsidRPr="00BE00C7" w:rsidP="00BE00C7">
            <w:pPr>
              <w:pStyle w:val="OutcomeDescription"/>
              <w:spacing w:before="120" w:after="120"/>
              <w:rPr>
                <w:rFonts w:cs="Arial"/>
                <w:b w:val="0"/>
                <w:lang w:eastAsia="en-NZ"/>
              </w:rPr>
            </w:pPr>
            <w:r w:rsidRPr="00BE00C7">
              <w:rPr>
                <w:rFonts w:cs="Arial"/>
                <w:b w:val="0"/>
                <w:lang w:eastAsia="en-NZ"/>
              </w:rPr>
              <w:t>An internal audit programme is in place. In addition to scheduled monthly internal audits, six monthly wellness checks are undertaken (a PSO full audit process). Areas of non-compliance include the initiation of a corrective action plan with sign-off by a manager when implemented. Quality and risk data is shared with staff via meetings and posting results in the staff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has a strong H&amp;S commitment and committees. There is a central health &amp; safety committee that has representation from a manager of an Enliven care home. Holmdene has a health and safety committee that meets bi-monthly. All committee members have completed the health and safety unit standard "Describe the role and functions of the H&amp;S representative in a NZ workplace”. The facility manager has attended updates on health and safety procedures during managers days in Dunedin. </w:t>
            </w:r>
          </w:p>
          <w:p w:rsidR="00EB7645" w:rsidRPr="00BE00C7" w:rsidP="00BE00C7">
            <w:pPr>
              <w:pStyle w:val="OutcomeDescription"/>
              <w:spacing w:before="120" w:after="120"/>
              <w:rPr>
                <w:rFonts w:cs="Arial"/>
                <w:b w:val="0"/>
                <w:lang w:eastAsia="en-NZ"/>
              </w:rPr>
            </w:pPr>
            <w:r w:rsidRPr="00BE00C7">
              <w:rPr>
                <w:rFonts w:cs="Arial"/>
                <w:b w:val="0"/>
                <w:lang w:eastAsia="en-NZ"/>
              </w:rPr>
              <w:t>Strategies are implemented to reduce the number of falls. This includes (but is not limited to) ensuring call bells are placed within reach, the use of sensor mats, encouraging participation in activities and physiotherapy input. The clinical coordinator reviews all falls and documents a monthly report. This report documents all individual falls, issues around the fall and any corrective plans that have been undertaken. Residents at risk of falling have a falls risk assessment completed with strategies implemented to reduce the number of falls. Care worker interviews confirmed that they are aware of which residents are at risk of falling and that this is discussed during staff handovers.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 and incident reporting policy. Adverse events are investigated by the clinical manager and/or registered nursing staff, evidenced in all twelve accident/incident forms reviewed. Adverse events are trended and analysed with results communicated to staff. There is evidence to support actions are undertaken to minimise the number of incidents. Clinical follow-up of residents is conducted by a registered nurse. Unwitnessed falls are followed with a set of neurological observations conducted as evidenced in the sample of incident reports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the clinical coordinator and the clinical advisor confirmed their awareness of the requirement to notify relevant authorities in relation to essential notifications. Two section 31 for an unstageable pressure injury and an outbreak notification for respiratory outbreak in September 2020 were confirmed as being sent. The Ministry of Health was also informed of the appointment of the facility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 management policies in place which includes the recruitment and staff selection process. Relevant checks are completed to validate the individual’s qualifications, experience, and veracity. A register of current practising certificates is maintained. Five staff files reviewed (one weekend cook, two care workers, one registered nurse and the clinical coordinator) evidenced that reference checks were completed before employment was offered. Also sighted were signed employment agreements and job descriptions.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an orientation programme that provides new staff with relevant information for safe work practice. Staff orientations were fully completed, including three monthly post-employment reviews. The service provides four block education days a year where care staff are rostered to the day and paid to attend. Registered nurses and senior care workers complete medication training and competencies. Registered nurses have syringe driver training and competencies completed. All training is entered onto a database. The cook has completed a qualification in food safety and food hygiene. All kitchen staff have completed their food safety training on site. Chemical safety training is included in staff orientation and as a regular in-service topic.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able to attend external training including sessions provided by the district health board and online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rationale and skill mix policy is in place. Sufficient staff are rostered on to manage the care requirements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 clinical coordinator are registered nurses with current practising certificates who work full time Monday – Friday. The registered nurses are rostered separately to care workers; there is at least one RN rostered on each shift. Four times a week there is an extra registered nurse rostered on in the mornings to complete interRAI assessments and paperwork.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workers work as one team with three long and three shorter shifts on each morning shift: five care workers in the afternoon on two long and three shorter shifts, and one care worker on at night with the night RN. </w:t>
            </w:r>
          </w:p>
          <w:p w:rsidR="00EB7645" w:rsidRPr="00BE00C7" w:rsidP="00BE00C7">
            <w:pPr>
              <w:pStyle w:val="OutcomeDescription"/>
              <w:spacing w:before="120" w:after="120"/>
              <w:rPr>
                <w:rFonts w:cs="Arial"/>
                <w:b w:val="0"/>
                <w:lang w:eastAsia="en-NZ"/>
              </w:rPr>
            </w:pPr>
            <w:r w:rsidRPr="00BE00C7">
              <w:rPr>
                <w:rFonts w:cs="Arial"/>
                <w:b w:val="0"/>
                <w:lang w:eastAsia="en-NZ"/>
              </w:rPr>
              <w:t>Extra staff can be called on for increased residents' requirements.</w:t>
            </w:r>
          </w:p>
          <w:p w:rsidR="00EB7645" w:rsidRPr="00BE00C7" w:rsidP="00BE00C7">
            <w:pPr>
              <w:pStyle w:val="OutcomeDescription"/>
              <w:spacing w:before="120" w:after="120"/>
              <w:rPr>
                <w:rFonts w:cs="Arial"/>
                <w:b w:val="0"/>
                <w:lang w:eastAsia="en-NZ"/>
              </w:rPr>
            </w:pPr>
            <w:r w:rsidRPr="00BE00C7">
              <w:rPr>
                <w:rFonts w:cs="Arial"/>
                <w:b w:val="0"/>
                <w:lang w:eastAsia="en-NZ"/>
              </w:rPr>
              <w:t>The activities coordinator works five days a week. Separate cleaning, kitchen and laundry staff are rostered.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residents and a family member identified that staffing is adequate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guidelines. Clinical staff that administer medications (RNs and occasionally some care workers) have been assessed for competency on an annual basis and attend annual medication education. All medication is checked on delivery against the medication chart. All medications are stored safely.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fridge is maintained within the acceptable temperature range. The medication room temperature is monitored, and all recordings show that the room is kept at 25 degrees Celsius or below. All eye drops and ointments were dated on opening. There was one resident self-medicating inhalers only on the day of audit; competencies had been undertaken for this resident that had been reviewed three-monthly. The medications were stored safely. </w:t>
            </w:r>
          </w:p>
          <w:p w:rsidR="00EB7645" w:rsidRPr="00BE00C7" w:rsidP="00BE00C7">
            <w:pPr>
              <w:pStyle w:val="OutcomeDescription"/>
              <w:spacing w:before="120" w:after="120"/>
              <w:rPr>
                <w:rFonts w:cs="Arial"/>
                <w:b w:val="0"/>
                <w:lang w:eastAsia="en-NZ"/>
              </w:rPr>
            </w:pPr>
            <w:r w:rsidRPr="00BE00C7">
              <w:rPr>
                <w:rFonts w:cs="Arial"/>
                <w:b w:val="0"/>
                <w:lang w:eastAsia="en-NZ"/>
              </w:rPr>
              <w:t>Ten electronic medication charts reviewed met legislative requirements. Medications had been signed as administered in line with medication charts. Appropriate practice was demonstrated on the witnessed medication round.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 site. The kitchen is led by the food services manager. Food services staff have attended food safety and chemical safety training. There is an approved food control plan in place that expires on 1 February 2022. There is dietitian input into the provision of the menus and diets where required. The PSO dietitian prepares and reviews all menus for the group with this last completed in November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full dietary assessment is completed on all residents at the time they are admitted. Residents with special dietary needs have these needs identified in their care plans and these needs are reviewed periodically as part of the care planning review process. A memo is sent to the kitchen alerting the food service manager of any special diets, likes and dislikes, or meal texture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and freezer temperatures are taken and recorded daily. End-cooked food and serving temperatures are recorded daily. Perishable foods sighted in all the fridges were dated. The dishwasher is checked regularly by the chemical supplier. Chemicals are stored safely. </w:t>
            </w:r>
          </w:p>
          <w:p w:rsidR="00EB7645" w:rsidRPr="00BE00C7" w:rsidP="00BE00C7">
            <w:pPr>
              <w:pStyle w:val="OutcomeDescription"/>
              <w:spacing w:before="120" w:after="120"/>
              <w:rPr>
                <w:rFonts w:cs="Arial"/>
                <w:b w:val="0"/>
                <w:lang w:eastAsia="en-NZ"/>
              </w:rPr>
            </w:pPr>
            <w:r w:rsidRPr="00BE00C7">
              <w:rPr>
                <w:rFonts w:cs="Arial"/>
                <w:b w:val="0"/>
                <w:lang w:eastAsia="en-NZ"/>
              </w:rPr>
              <w:t>Residents can attend the dining room for their meals, or they may have meals delivered to them on a tray. A caregiver is always present in the dining room while the residents are having breakfast and assists in serving residents that are not able to be independent. There were two dining areas; one dining area was used for residents that required assistance with feeding; and the other dining area was for the residents who were more independent.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along with direct input from residents, provides resident feedback on the meals and food services generally. Residents and family members interviewed were satisfied with the meals provided. Alternatives are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a registered nurse initiates a review and if required a GP consultation. There is documented evidence on the family/whānau contact form in each resident file that indicated family were notified of any changes to their relative’s health including (but not limited to) accident/incidents, behaviours, infections, health professional visits, referrals, and changes in medications. Discussions with family confirmed they are notified promptly of any changes to their relative’s health.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the treatment room. Wound management policies and procedures are in place. Wound assessment and treatment forms, ongoing evaluation form and evaluation notes were in place for the eight residents with nine wounds (skin tears, skin lesions, ingrown toe nail, and three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Residents are weighed monthly or more frequently if weight is of concern. Nutritional requirements and assessments are completed on admission, identifying resident nutritional status and preferences.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 term care plans are developed and included infections and wounds. Monitoring forms are used for weight, vital signs, blood sugar levels, pain, challenging behaviour, food and fluid charts, neurological observations and repositioning charts as evidenced in the five files reviewed. The service has addressed the previous finding.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currently one activities staff employed (with one on maternity leave) who provides activities at PSO Holmdene. She is supported by care workers and a team of volunteers. The activities programme covers five days a week. There is a weekly plan of activities, based on assessed needs and wishes of the residents. This is posted on the hallway noticeboard and residents have a copy of the programme in their rooms. </w:t>
            </w:r>
          </w:p>
          <w:p w:rsidR="00EB7645" w:rsidRPr="00BE00C7" w:rsidP="00BE00C7">
            <w:pPr>
              <w:pStyle w:val="OutcomeDescription"/>
              <w:spacing w:before="120" w:after="120"/>
              <w:rPr>
                <w:rFonts w:cs="Arial"/>
                <w:b w:val="0"/>
                <w:lang w:eastAsia="en-NZ"/>
              </w:rPr>
            </w:pPr>
            <w:r w:rsidRPr="00BE00C7">
              <w:rPr>
                <w:rFonts w:cs="Arial"/>
                <w:b w:val="0"/>
                <w:lang w:eastAsia="en-NZ"/>
              </w:rPr>
              <w:t>Activities include newspaper reading; exercises; bible studies; reminiscing and housie. On the days of audit, residents were observed being actively involved with a variety of activities. The programme includes residents being involved within the community, social clubs, church, and schools as Covid-19 alert levels allow. Visiting entertainers are currently on hold from attending the facility. Holmdene has a church service once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initial assessment completed over the first few weeks after admission, obtaining a complete history of past and present interests and life events. Activities are included as appropriate in the lifestyle support plan. A record is kept of individual resident’s activities and progress notes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Feedback about the activities programme is gained from the residents individually and in resident meetings. Residents interviewed spoke very positively about the varied activities programme which they have input into.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Most initial care plans for long-term residents were evaluated by an RN within three weeks of admission and long-term care plans developed (link 1.3.3.3). Not all long-term care plans have been evaluated by an RN six monthly or earlier for any health changes (link 1.3.3.3). Written evaluations reviewed identified if the resident goals had been met or unmet. Family had been involved in the care plan review and informed of any changes if unable to attend. The GP reviews the residents at least three-monthly or earlier if required. Ongoing nursing evaluations occur as indicated and are documented within the progress notes and on the long-term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building warrant of fitness that expires October 2022. The service contracts a maintenance person for 40-50 hours per month who undertakes preventative and reactive maintenance. Daily maintenance requests are addressed. There is an annual maintenance plan, which includes monthly checks, for example, hot water temperature, call bells, resident equipment, and safety checks. Hot water temperature records reviewed evidenced that records were noted to be at or just below the required 45 degrees centigrade. Where temperatures were recorded more than this level, a corrective action had been implemented with a plumber and testing evidenced that the levels had been rectified. The service has addressed this previous finding. Electrical equipment has been tested and tagged. Clinical equipment has been calibrated and/or serviced. Essential contractors are available 24-hours.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enough space for residents to safely mobilise using mobility aids. There is safe access to the outdoor areas, which include a courtyard. Seating and shade are provided. </w:t>
            </w:r>
          </w:p>
          <w:p w:rsidR="00EB7645" w:rsidRPr="00BE00C7" w:rsidP="00BE00C7">
            <w:pPr>
              <w:pStyle w:val="OutcomeDescription"/>
              <w:spacing w:before="120" w:after="120"/>
              <w:rPr>
                <w:rFonts w:cs="Arial"/>
                <w:b w:val="0"/>
                <w:lang w:eastAsia="en-NZ"/>
              </w:rPr>
            </w:pPr>
            <w:r w:rsidRPr="00BE00C7">
              <w:rPr>
                <w:rFonts w:cs="Arial"/>
                <w:b w:val="0"/>
                <w:lang w:eastAsia="en-NZ"/>
              </w:rPr>
              <w:t>The care workers and RNs stated they have enough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clinical coordinator is the infection control coordinator and along with the facility manager, uses the information obtained through surveillance to determine infection control activities, resources and education needs within the facility.</w:t>
              <w:br/>
              <w:t xml:space="preserve">A monthly log of infections and short-term care plans are completed for all resident infections. Infection control data is collated monthly and reported at the quality and risk, and staff meetings. The surveillance of infection data assists in evaluating compliance with infection control practices, identifying trends and corrective actions/quality initiatives. Infection control data is on display for staff. The infection control programme is linked with the adverse event reporting system. The results are subsequently included in the manager’s report on clinical indicators. </w:t>
            </w:r>
          </w:p>
          <w:p w:rsidR="00EB7645" w:rsidRPr="00BE00C7" w:rsidP="00BE00C7">
            <w:pPr>
              <w:pStyle w:val="OutcomeDescription"/>
              <w:spacing w:before="120" w:after="120"/>
              <w:rPr>
                <w:rFonts w:cs="Arial"/>
                <w:b w:val="0"/>
                <w:lang w:eastAsia="en-NZ"/>
              </w:rPr>
            </w:pPr>
            <w:r w:rsidRPr="00BE00C7">
              <w:rPr>
                <w:rFonts w:cs="Arial"/>
                <w:b w:val="0"/>
                <w:lang w:eastAsia="en-NZ"/>
              </w:rPr>
              <w:t>Internal infection control audits also assist the service in evaluating infection control needs. There is close liaison with the GPs that advise and provide feedback/information to the service. One respiratory infection outbreak during 2020 was reported to Public Health and the DHB and was managed well.</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clearly defined pandemic plans for Covid-19 alert levels and has procured sufficient supplies of PPE. Visitors are asked not to visit if they are unwell. Hand sanitisers were appropriately placed throughout the facility. Covid isolation kits have been put together in readiness, and education and training for staff has been provided. All visitors must register at reception and be screened. Covid vaccinations have been provided for staff and residents. The service maintains a large supply of outbreak management resources, which includes but is not limited to special bins with lids, antibacterial wipes, clothing protectors, gowns, surgical masks, N95 masks, gloves, specific bags for contaminated items, antibacterial gels, and sprays. The five moments of hand hygiene were observed to occur when delivering personal cares in residents’ 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There was one hospital level resident with bed rails identified as restraint and no residents using an enabler.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and staff records evidenced guidance has been given on restraint minimisation and safe practice enabler usage and prevention and/or de-escalation techniques. Policies and procedures include definitions of restraint and enabler that are congruent with the definition in NZS 8134.0.</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48"/>
        <w:gridCol w:w="1280"/>
        <w:gridCol w:w="5088"/>
        <w:gridCol w:w="3742"/>
        <w:gridCol w:w="197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Five resident files were reviewed and all evidenced that interRAI assessments, risk assessments, long-term care plans and short-term care plans have been completed and align with the needs of the residents. One of the five files evidenced that interRAI assessments and long-term care plans have been completed within the required contractual timeframes. Not all files evidenced that assessments and care plans align, or that interRAI assessments inform the development or evaluation of the long-term care plans.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One rest home and one hospital file did not have interRAI or the long-term care plan completed within 21 days of admission; ii) one hospital resident’s interRAI reassessment was completed after a gap of nine months; iii) two hospital level files interRAI assessments and long-term care plans did not align, with gaps of over two months between each documentation completion.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i)-iii) Ensure that all aspects of assessments and care planning are completed within required timeframes and that interRAI assessments inform the development and review of the long-term care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Services Otago Incorporated - Holmdene Rest Home</w:t>
    </w:r>
    <w:bookmarkEnd w:id="58"/>
    <w:r>
      <w:rPr>
        <w:rFonts w:cs="Arial"/>
        <w:sz w:val="16"/>
        <w:szCs w:val="20"/>
      </w:rPr>
      <w:tab/>
      <w:t xml:space="preserve">Date of Audit: </w:t>
    </w:r>
    <w:bookmarkStart w:id="59" w:name="AuditStartDate1"/>
    <w:r>
      <w:rPr>
        <w:rFonts w:cs="Arial"/>
        <w:sz w:val="16"/>
        <w:szCs w:val="20"/>
      </w:rPr>
      <w:t>18 October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