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Cedar Manor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Cedar Manor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November 2021</w:t>
      </w:r>
      <w:bookmarkEnd w:id="7"/>
      <w:r w:rsidRPr="009418D4">
        <w:rPr>
          <w:rFonts w:cs="Arial"/>
        </w:rPr>
        <w:tab/>
        <w:t xml:space="preserve">End date: </w:t>
      </w:r>
      <w:bookmarkStart w:id="8" w:name="AuditEndDate"/>
      <w:r w:rsidR="00A4268A">
        <w:rPr>
          <w:rFonts w:cs="Arial"/>
        </w:rPr>
        <w:t>17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Nil</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Cedar Manor is part of the Bupa group.  The service is certified to provide rest home, hospital (geriatric and medical) and dementia levels of care for up to 92 residents.  On the day of audit there were 82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 </w:t>
      </w:r>
    </w:p>
    <w:p w:rsidRPr="00A4268A">
      <w:pPr>
        <w:spacing w:before="240" w:line="276" w:lineRule="auto"/>
        <w:rPr>
          <w:rFonts w:eastAsia="Calibri"/>
        </w:rPr>
      </w:pPr>
      <w:r w:rsidRPr="00A4268A">
        <w:rPr>
          <w:rFonts w:eastAsia="Calibri"/>
        </w:rPr>
        <w:t>Bupa Cedar Manor is managed by an experienced, non-clinical care home manager who has been in the role for three years and has worked for Bupa for nine years.  She is supported by a clinical manager, unit coordinator and a Bupa operations manager.  Family, residents, and the general practitioner interviewed spoke positively about the care and support provided.</w:t>
      </w:r>
    </w:p>
    <w:p w:rsidRPr="00A4268A">
      <w:pPr>
        <w:spacing w:before="240" w:line="276" w:lineRule="auto"/>
        <w:rPr>
          <w:rFonts w:eastAsia="Calibri"/>
        </w:rPr>
      </w:pPr>
      <w:r w:rsidRPr="00A4268A">
        <w:rPr>
          <w:rFonts w:eastAsia="Calibri"/>
        </w:rPr>
        <w:t>This certification audit identified that one improvement is required in relation to call bell response times.</w:t>
      </w:r>
    </w:p>
    <w:p w:rsidRPr="00A4268A">
      <w:pPr>
        <w:spacing w:before="240" w:line="276" w:lineRule="auto"/>
        <w:rPr>
          <w:rFonts w:eastAsia="Calibri"/>
        </w:rPr>
      </w:pPr>
      <w:r w:rsidRPr="00A4268A">
        <w:rPr>
          <w:rFonts w:eastAsia="Calibri"/>
        </w:rPr>
        <w:t>Two areas of continuous improvement have been awarded around staff training and restraint minimisation.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Commissioner’s (HDC) Code of Health and Disability Services Consumers' Rights (the Code).  Information about the Code is readily available to residents and families.  Policies are implemented to support residents’ rights.  Care plans accommodate the choices of residents and/or their family/whānau.  Policies are implemented to support rights such as privacy, dignity, abuse/neglect, culture, values and beliefs, complaints, advocacy, and informed consent.  Complaints and concerns are managed in accordance with HDC guidelines.  Residents and relatives spoke positively about the care provided by staff.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An education and training programme is in place.  Appropriate employment processes are adhered to.  There is a roster that provides appropriate staff cover for the delivery of care and support.  The residents’ files are appropriate to the service type.  Residents' files are protected from unauthorised access.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included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the consumer group.  </w:t>
      </w:r>
    </w:p>
    <w:p w:rsidRPr="00A4268A" w:rsidP="00621629">
      <w:pPr>
        <w:spacing w:before="240" w:line="276" w:lineRule="auto"/>
        <w:rPr>
          <w:rFonts w:eastAsia="Calibri"/>
        </w:rPr>
      </w:pPr>
      <w:r w:rsidRPr="00A4268A">
        <w:rPr>
          <w:rFonts w:eastAsia="Calibri"/>
        </w:rPr>
        <w:t xml:space="preserve">All cooking and baking are done on site.  Residents' nutritional needs are identified and documented.  Choices are available and are provided.  The organisational dietitian reviews the Bupa menu plans.  There are nutritious snacks available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Electrical equipment has been tested and tagged.  All medical equipment and all hoists have been serviced and calibrated.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Fixtures, fittings, and flooring is appropriate and toilet/shower facilities are constructed for ease of cleaning.  Cleaning and laundry services are monitored through the internal auditing system. </w:t>
      </w:r>
    </w:p>
    <w:p w:rsidRPr="00A4268A">
      <w:pPr>
        <w:spacing w:before="240" w:line="276" w:lineRule="auto"/>
        <w:rPr>
          <w:rFonts w:eastAsia="Calibri"/>
        </w:rPr>
      </w:pPr>
      <w:r w:rsidRPr="00A4268A">
        <w:rPr>
          <w:rFonts w:eastAsia="Calibri"/>
        </w:rPr>
        <w:t xml:space="preserve">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restraints and one resident using an enabler.  Restraint management processes are being implemented.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w:t>
      </w:r>
    </w:p>
    <w:p w:rsidRPr="00A4268A">
      <w:pPr>
        <w:spacing w:before="240" w:line="276" w:lineRule="auto"/>
        <w:rPr>
          <w:rFonts w:eastAsia="Calibri"/>
        </w:rPr>
      </w:pPr>
      <w:r w:rsidRPr="00A4268A">
        <w:rPr>
          <w:rFonts w:eastAsia="Calibri"/>
        </w:rPr>
        <w:t>The service engages in benchmarking with other Bupa facilities.  There have been two outbreaks since the last audit; both of which were managed appropriately with Public Health involvement.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84"/>
        <w:gridCol w:w="1280"/>
        <w:gridCol w:w="86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Commissioner’s (HDC) Code of Health and Disability Consumers’ Rights (the Code) policy and procedure is implemented.  Discussions with the care home manager, clinical manager/registered nurse (RN), and eighteen staff (one unit coordinator/RN, three staff RNs, eight caregivers who work across the rest home, hospital and dementia wings on the AM and PM shifts, two kitchen staff, one diversional therapist, one housekeeper, one laundry, one maintenance) confirmed their familiarity with the Code and its application to their job role and responsibilities.  Annual education and training relating to the Code is mandatory for staff to attend.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five residents (four rest home and one hospital, and seven relatives (two hospital, two rest home, three dementia) confirmed that the services being provided are in line with the Code.  The hospital level resident under the young person with a disability contract was not able to be interviewed.  Aspects of the Code are discussed in the staff and resident/family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ten files reviewed, residents had general consent forms signed on file, either by the resident or enduring power of attorney (EPOA).  Care staff were knowledgeable around informed consent.  The resident files for those who shared rooms in the Tui Haven (dementia wing) had evidence of discussion with family/EPOA and documented consent related to room sharing.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family/EPOA discussion with the GP for a medically indicated not for resuscitation status.  In the files reviewed, there were appropriately signed resuscitation plans and advance directives in place.  Discussions with residents and relatives demonstrated they are involved in the decision-making process (as appropriate), and in the planning of care.  A number of residents had completed advanced care plans, copies of which are kept on file.  Admission agreements had been signed and sighted for all the files seen.  Copies of EPOA, and certificates of mental incapacity were present in resident files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Staff receive training on advocacy.  Information about accessing advocacy services is available in the information presented to residents and their families during entry to the service.  Advocacy support is available if requested.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relatives confirmed that they were aware of advocacy services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Care staff interviewed confirmed that residents are encouraged to build and maintain relationships.  Community links are evident through the activities programme, and regular (monthly) newsletters that are provided to residents, families, and a separate monthly newsletter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adjacent to a suggestions box.  Information about complaints is provided on admission.  Interviews with residents and families reflected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An electronic complaint register is maintained.  One complaint, reported by HDC on 15 October 2020, remains open.  Actions are being addressed through the Bupa head office.  Corrective actions implemented, recommended by HDC, have included actively involving external mediation services.  However the mediation was unsuccessful.  Further corrective actions were underway at the time of the audit. Bupa has now embedded a nurse call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Twenty-six complaints have been received in 2021 (year-to-date).  Four complaints in regard to residents’ cares were reviewed in detail.  Evidence indicates that complaints are managed in accordance with HDC guidelines.  All 2021 complaints are documented as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displaying the Code in English and in Māori.  The service is able to provide information in different languages and/or in large print if requested.  On entry to the service the Code is discussed with the resident and family.  Information is provided in the information pack that is given to the resident and next of kin/enduring power of attorney (EPOA) to read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requirements of the Privacy Act and Health Information Privacy Code.  During the audit, staff were observed gaining permission prior to entering residents’ rooms.  All care staff interviewed demonstrated an understanding of privacy and could describe how choice is incorporated into residents’ cares.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double/shared rooms, located in the dementia wing, that were occupied.  Curtains protect each resident’s privacy.  Family have consented to this arrangement, as documented in the family communication record in each resident’s file.  Two couples, living in the rest home/hospital wings were each occupying their own room.</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that staff promote the residents’ independence wherever possible, and that residents’ choices are encouraged.  There is an abuse and neglect policy that is implemented, and staff have undertaken annual mandatory training in relation to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Māori cultural policies to help meet the cultural needs of its Māori residents.  Bupa has developed Māori Tikanga best practice guidelines, which are posted in visible locations.  The service has established links with the local iwi Ngai Te Rangi.  A list of Māori groups and health care providers is available at reception.  The resident room is blessed by either Māori staff or a kaumātua following a death.  Staff mandatory training covers cultural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cultural assessment is completed during the Māori resident’s entry to the service (sighted in the file of one resident who identifies as Māori).  This resident, or their whānau, were unavailable to be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aged care facilities have established cultural policies that are aimed at helping to meet the cultural needs of its residents.  Cultural events have been incorporated to celebrate the various different cultures of staff and residents.  Residents and relatives interviewed reported that they are satisfied that the residents’ cultural and individual values are being met.  Information gathered during assessment, including residents’ cultural beliefs and values, is used to develop a care plan that the resident (if appropriate) and/or their family/whānau are asked to consult on.  Discussions with staff confirmed that they are aware of the need to respond to the cultural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The service receives support from the district health board which includes visits from specialists (eg, mental health services).  A general practitioner (GP) or a nurse practitioner (NP) visit the facility twice times per week.  The GP also provides urgent and out of hours requirements as needed.  Physiotherapy services are provided one day (six hours) per week with a physiotherapy assistant available five mornings per week. </w:t>
            </w:r>
          </w:p>
          <w:p w:rsidR="00EB7645" w:rsidRPr="00BE00C7" w:rsidP="00BE00C7">
            <w:pPr>
              <w:pStyle w:val="OutcomeDescription"/>
              <w:spacing w:before="120" w:after="120"/>
              <w:rPr>
                <w:rFonts w:cs="Arial"/>
                <w:b w:val="0"/>
                <w:lang w:eastAsia="en-NZ"/>
              </w:rPr>
            </w:pPr>
            <w:r w:rsidRPr="00BE00C7">
              <w:rPr>
                <w:rFonts w:cs="Arial"/>
                <w:b w:val="0"/>
                <w:lang w:eastAsia="en-NZ"/>
              </w:rPr>
              <w:t>The education and training programme for staff includes in-service training, impromptu training (toolbox talks) and competency assessments.  Staff dementia training has resulted in a rating of continuous improvement (link 1.2.7.5).  The activities programme is provided to residents six days a week.  Podiatry services and hairdressing services are provided.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held in the front of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and accidents are recorded electronically using the RiskMan database.  Fifteen incidents/accident forms selected for review indicated that family were informed.  Families interviewed confirmed they are notified of any changes in their family member’s health status or if there has been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  Signage to assist with translation was present in one room of a resident who was unable to communicate or 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Cedar Manor is part of the Bupa group of aged care facilities.  The care facility has a total of 92 beds, suitable for rest home, hospital, and dementia levels of care.  Hospital level of care is certified for residents funded under a medical contract.  During the audit there were 82 residents (30 rest home level, 35 hospital level, 17 dementia level).  There was one (hospital) resident under the young person with a disability (YPD) contract.  The remaining residents were under the age-related residential services agreement.  Twenty-five beds are certified as dual-purpose, suitable for either rest home or hospital level of care.</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Staff are made aware of the organisation’s vision and values during their induction to the service.  There is an overall Bupa business plan and risk management plan.  There are site-specific quality and health and safety goals that are reviewed monthly and signed off when achieved.  Goals are updated each year.</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a background in finance.  She has worked for Bupa for nine years and has been the care home manager at Bupa Cedar Manor for three years.  She is supported by a clinical manager/RN who has been in the role for four years and has been employed by Bupa for the past seven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Managers and clinical managers attend annual organisational forums and regional forums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care home manager, the administrative staff and the clinical manager/RN are in charge.  For extended absences, a Bupa relieving care home manager is rostered.  In the absence of the clinical manager, the unit coordinator is responsible for clinically related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programmes are in place.  Interviews with the managers (care home manager, clinical manager) and staff confirmed their understanding of the quality and risk management systems that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New policies and/or changes to policy are communicated to staff, evidenced in meeting minutes.  Staff are asked to read and sign that they understand the policy changes.</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medication errors, skin tears, bruising, infections) are collated and analysed using an electronic system (RiskMan).  Annual satisfaction survey results reflect that residents and families are overall very satisfied with services; 2021 results have just been released.  An internal audit programme is being implemented.  Quality and risk data are shared with staff via meetings and posting results in the staffroom.  Areas of non-compliance include the initiation of a corrective action plan with sign-off by either the care home manager or clinical manager when implemented.  Missing was evidence of a corrective action being implemented around the timeliness of answering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covers specific and measurable health and safety goals that are regularly reviewed.  A health and safety representative (RN) was interviewed regarding their role on the health and safety team.  The health and safety team meet once a month.  A hazard identification form is being implemented with examples provided.  Hazards are regularly monitored.  Staff undergo annual health and safety training which begins during their orientation.  Contractors are also orientated to health and safety before conducting any work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A fall focus group convenes monthly to address residents at risk of falling.  Falls prevention strategies are individualised and are based on the individual needs of each resident.  A range of strategies are implemented including (but not limited to) regular toileting, intentional rounding, the staff designation of falls champions, the purchase of non-slip mats and encouraging residents to attend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unit coordinator, and/or registered nursing staff, evidenced in all 15 accident/incidents reviewed (unwitnessed and witnessed falls, pressure injuries, episodes of challenging behaviours, bruising, skin tears).  Adverse events are trended and analysed using RiskMan, with results communicated to staff both in staff meetings and in the staffroom.  There is evidence to support actions are undertaken to minimise the number of incidents.  Any suspected injury to the head or unwitnessed falls includes monitoring neurological observations as per Bupa policy.</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care home manager confirmed her awareness of the requirement to notify relevant authorities in relation to essential notifications.  Section 31 reports, completed through the head office since the previous audit have included seven stage three (or higher) pressure injuries, two missing residents that involved the police, and one environmental (call bell) failure.  Public health and the DHB were notified regarding two outbreaks that occurred in 2021.  The DHB was also notified in regard to three missing residents that did not require a police investigation.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 the recruitment and staff selection process.  Relevant checks are completed to validate the individual’s qualifications, experience, and veracity.  A register of current practising certificates is maintained for health professionals.  Ten staff files reviewed (five caregivers, two RNs, one kitchen assistant, one activities assistant, one cleaner) evidenced that reference checks are completed before employment is offered.  Also sighted in each personnel file reviewed were signed employment agreements, signed job descriptions, and evidence of police vetting.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The education programme offered is extensive and includes in-service training, competency assessments relevant to the role the staff member is in, and impromptu (toolbox) talks.  Both internal and external speakers are invited to present.  A significant amount of work has been undertaken to improve staff attendance rates.  The education model that has been implemented allows for all staff to be rostered to attend education study days three times per year.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fully embraced the Bupa person first – dementia second programme with 30 staff now fully qualified.  A rating of continuous improvement has been awarded for this achievement.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expected to complete an aged care education programme that meets the New Zealand Quality Authority (NZQA) requirements.  There are 23 caregivers who are level four qualified.  In the dementia unit eight of ten caregivers have completed the required dementia qualification and the remaining two caregivers are in the process of completing this qualification.  Both of these caregivers have been employed for less than 18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first aid/CPR trained staff on duty and on outings.  Thirteen of eighteen RNs have completed their interRAI training and three RNs have completed their professional recognition portfolio (PDRP).  There is a minimum of one first aid trained staff on duty 24/7.  All kitchen staff have completed their food safety training on site.  Chemical safety training is included in staff orientation and as a regular in-service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are in place.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(non-clinical) is supported by a clinical manager/RN and both are employed full time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Dementia wing (Tui wing) with 17 residents:  An RN is rostered seven days a week on the AM and PM shifts.  Two caregivers; one eight hour (long) and one short shift are rostered on the AM shift, two short shift caregivers are rostered on the PM shift, and one caregiver is rostered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Hospital wing (Kauri wing) with 25 hospital and 6 rest home level residents: An RN is rostered 24/7 across the AM, PM, and night shifts.  There was a unit coordinator vacancy for the hospital wing at the time of the audit.  Four long and two short shift caregivers are rostered on the AM shift, five long and two short shift caregivers are rostered on the PM shift, and two caregivers are rostered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wing (Ocean View wing) with 24 rest home and 10 hospital level residents:  An RN is rostered 24/7 across the AM, PM, and night shifts.  The AM RN is a unit coordinator five days a week.  Two long and one short shift caregivers are rostered on the AM shift, one long and one short shift caregivers are rostered on the PM shift and one caregiver is rostered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Separate cleaning and laundry staff are rostered.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caregiver or RN.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Bupa admission policy.  All residents have a needs assessment completed prior to entry that identifies the level of care required.  The care home manager and clinical manager screen all potential enquiries to ensure the resident has been assessed at the correct care level required for admission and that the service can meet the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(including dementia care),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One resident file reviewed had been recently admitted to hospital post fall.  All appropriate documentation and communication (including to family) were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Medications were appropriately stored in the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Six residents were self-medicating on the day of audit and had self-medication assessments in place authorised by the GP as well as safe and secure storage in their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electronic medication charts were reviewed.  The medication charts reviewed identified that the GP had reviewed all resident medication charts three monthly and each drug chart has a photo identification and allergy status identified.  PRN medications have indications for use and effectiveness is documented post-administration.  The service, in conjunction with the GP and local PHO pharmacist had recently initiated a programme of in-depth reviews to reduce polypharmacy, the results of which have yet to be assessed.  There are no standing orders in use and no vaccines are kept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manager oversees the on-site kitchen, and all cooking is undertaken on site.  There is a seasonal four-week rotating menu, which is reviewed by a dietitian at organisational level.  A resident nutritional profile is developed for each resident on admission, and this is provided to the kitchen staff by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able to meet the needs of residents who require special diets, and the chef (interviewed) works closely with the registered nurses on duty.  The service provides pre-moulded pureed foods to those residents requiring this modification.  Staff feedback indicated the close resemblance to the original dish (pureed peas look like peas etc.) has a beneficial effect for the resident in terms of inclusion in the dining room and dietary intake.  Lip plates are available as required.  Supplements are provided to residents with identified weight loss issues.  The kitchen is situated near to the hospital dining area, with rest home and dementia unit meals being individually trayed and delivered via temperature-controlled scan boxes to maintain delivery temperature.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expiring 22 September 2022.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Resident meetings, surveys, and one-to-one interaction with kitchen staff in the three dining rooms allow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family/whānau of the potential resident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the Bupa assessment booklets and person-centred templates (My Day, My Way) for all residents.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InterRAI assessments had been completed for all files reviewed within timeframes and areas triggered were addressed in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resident files were reviewed across a range of conditions including (but not limited to) falls, complex wounds, high medical needs, and new admissions.  In all files reviewed the care plans were comprehensive, addressed the resident need and were integrated with other allied health services involved in resident care.  Relatives and residents interviewed all stated they were involved in the planning of resident care.  In all files reviewed there is evidence of resident (where appropriate) and relative involvement in care planning.  Activity assessments were completed by the activities staff within three weeks of admission.  Care plans reviewed provided evidence of individualised support.  Short-term care plans are in use for short-term needs and changes in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detailed progress which reflected the interventions detailed in the long-term care plans.  When a resident's condition alters, the registered nurse initiates a review and if required, GP, NP, or specialist consultation.  Short-term care plans are documented for changes in health status.  Care plans reviewed documented sufficient detail to guide care staff in the provision of care.  A physiotherapist and physiotherapy assistant are employed to assess and assist residents’ mobility and transfer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wound nurse specialist involvement in chronic wounds.  There were 18 ongoing wounds including skin tears, skin cancers, and post-surgical wounds.  There was one stage 2 pressure injury (facility acquired) at the time of audit.  All wounds had wound assessments, appropriate management plans and ongoing evaluations completed.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are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are notified of any changes to their relative’s health including (but not limited to) accident/incidents, infections, health professional visits and changes in medications.  There was documented evidence of relative contact for any changes to resident health status on the family/whānau contact form held in the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one full-time diversional therapist, and two part-time activities assistants who lead and facilitate the activity programme Monday to Friday, and part-time on Saturdays.  Saturday activities are currently taking place between 9 am - midday, with Saturday afternoons and Sundays having caregivers facilitate activities that have been pre-prepared by the diversional therapist until another weekend activity team member is recruited (currently in process).  There is also a dedicated van driver.  There are set Bupa activities including themes and events.  A monthly activities calendar is distributed to residents and is posted on noticeboards.  Families can also choose to have the activity calendar emailed to keep them informed and allow family attendance at special events and celebrations.</w:t>
            </w:r>
          </w:p>
          <w:p w:rsidR="00EB7645" w:rsidRPr="00BE00C7" w:rsidP="00BE00C7">
            <w:pPr>
              <w:pStyle w:val="OutcomeDescription"/>
              <w:spacing w:before="120" w:after="120"/>
              <w:rPr>
                <w:rFonts w:cs="Arial"/>
                <w:b w:val="0"/>
                <w:lang w:eastAsia="en-NZ"/>
              </w:rPr>
            </w:pPr>
            <w:r w:rsidRPr="00BE00C7">
              <w:rPr>
                <w:rFonts w:cs="Arial"/>
                <w:b w:val="0"/>
                <w:lang w:eastAsia="en-NZ"/>
              </w:rPr>
              <w:t>Residents are able to participate in a range of activities that are appropriate to their cognitive and physical capabilities.  There are four levels of activity to guide staff as to which is most appropriate for a particular resident: active able, less active able, less active less able, and limited activity limited ability.  The activity programme is further broken down into physical, cognitive, creative, and social activities.  Residents who do not participate regularly in the group activities, are visited for one-on-one sessions.  All interactions observed on the day of the audit evidenced engagement between residents and the activities team.  The activities team has facilitated a calendar for resident led activities, where activities staff will prepare and set up, and then the activity is led by a resident volunteer.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 Map of Life developed on admission.  The Map of Life includes previous careers, hobbies, life accomplishments and interests which forms the basis of the activities plan.  The resident files reviewed included a section of the long-term care plan for activities, which has been reviewed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range of activities such as crafts, exercises, bingo, cooking, quizzes, van trips, sing-alongs, movies, guided meditation, and pampering sessions.  Community visitors include entertainers, church services and ‘canine friends’ therapy visits.  There are van outings five days per week, Monday to Friday to local areas of interest.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resident (YPD) has an individual activity plan that reflects their age and ability.  This includes support to use technology, age-appropriate music, and supported shopping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secure dementia unit had 24-hour activity plans which included strategies for distraction and de-escalation.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positively of the activity programme with feedback and suggestions for activities made via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reviewed and evaluated by the registered nurse at least six-monthly or more frequently to reflect changes in health status, in all files sampled for those residents who had been there for six months or more.  Six monthly multi-disciplinary reviews (MDR) and meeting minutes are completed by the registered nurse with input from caregivers, the GP/NP, the activities team, resident (if appropriate) and family members/EPOA.  Resident progression towards meeting goals is evaluated and documented at these meetings.  The GP reviews the resident at least three-monthly.  Short-term care plans are in use for acute and short-term issues.  These are evaluated at regular intervals.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Cedar Manor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The staff provided examples of where a resident’s condition had changed, and the resident was reassessed from dementia to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have correct manufacturer labels.  Chemicals were stored safely throughout the facility.  Personal protective clothing was available for staff and seen to be worn by staff when carrying out their duties on the day of audit.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wings for hospital and rest home residents (Kauri and Ocean) each with a total of 37 beds available. There is an 18-bed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26 February 2022.  A request book for repairs is maintained and signed off as repairs are completed.  There are two maintenance staff (one full-time and one part-time) who carry out the 52-week planned maintenance programme.  The checking and calibration of medical equipment is completed by an external contractor on an annual schedule.  All electrical equipment is tested and tagged.  Hoists are checked monthly by maintenance staff in addition to the annual external contractor maintenance checks.  Hot water temperatures are tested and recorded week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 external areas and gardens are well maintained and easily accessible (including wheelchairs).  There is a balcony surrounding the entrance where residents can be seated in shaded areas and additional outdoor furniture throughout the garden areas.  There is keypad entry to the secure unit.  The outside area in the dementia unit is secure and gardens are well maintained with easy access from lounge areas and include an aviary and purpose-built outdoor activity area.  There is a monitored designated resident smoking area for the rest home and hospital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in the Ocean View wing have ensuite showers and toilets.  In the Kauri wing, which caters for hospital residents and Tui Haven wing for dementia level of care, there are adequate numbers of communal toilets and shower rooms to meet resident needs.  A visitors’ toilet is situated just off the main entrance between Ocean View and Kauri wings.  Communal toilets and bathrooms have appropriate signage and shower curtains installed.  Fixtures, fittings, and flooring are appropriate and toilet/shower facilities are constructed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Water temperatures are monitored, and temperatures are maintained at or below 45 degrees Celsius.  Residents interviewed reported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in Ocean View wing are single and spacious.  In the Kauri wing, the rooms are single apart from two larger rooms which can be shared by a couple.  In the Tui Haven wing which caters for dementia residents, the rooms are single apart from two doubles which are shared.  All are spacious enough to easily manoeuvre transferring and mobility equipment to safely deliver care.  Residents and families are encouraged to bring their own pictures, photos, and furniture to personalise the rooms,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lounges throughout the facility and each area (Ocean View, Kauri and Tui Haven) has its own dining room.  Food is served from temperature-controlled scan boxes which come from the main kitchen.  The lounges and dining areas are large enough and have adequate seating and space to allow for individual and group activities to occur.  Residents are able to move freely through and around these areas and furniture is placed to facilitate this.  Residents were seen to be moving freely both with and without assistance throughout the audit.  </w:t>
            </w:r>
          </w:p>
          <w:p w:rsidR="00EB7645" w:rsidRPr="00BE00C7" w:rsidP="00BE00C7">
            <w:pPr>
              <w:pStyle w:val="OutcomeDescription"/>
              <w:spacing w:before="120" w:after="120"/>
              <w:rPr>
                <w:rFonts w:cs="Arial"/>
                <w:b w:val="0"/>
                <w:lang w:eastAsia="en-NZ"/>
              </w:rPr>
            </w:pPr>
            <w:r w:rsidRPr="00BE00C7">
              <w:rPr>
                <w:rFonts w:cs="Arial"/>
                <w:b w:val="0"/>
                <w:lang w:eastAsia="en-NZ"/>
              </w:rPr>
              <w:t>There are quiet areas if residents wish to have some quiet time or speak privately with friends or family, including a family/whānau room.  The dementia unit has two external doors opening from main dining area allowing safe secure access to the gardens.  There is adequate space to allow maximum freedom of movement while promoting safety of confused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is situated in the basement level and has a dirty to clean workflow and entry and exit door.  The service has a no lift/carry policy so dirty linen is delivered into the laundry via a laundry chute, with clean laundry being sent back to the ground floor in wheeled baskets via the service elevator.  All linen and personal clothing is laundered on site by dedicated laundry staff, covering 7-days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 provider monitors the effectiveness of the laundry process.  Cleaning trolleys are kept in designated locked cupboards when not in use.  Residents and family interviewed reported satisfaction with the cleaning and laundry service.  Internal audits also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Fire drills are conducted every six months.  A business continuity plan is in place (updated 27 July 2021) in the event of a civil defence, or pandemic event.  A contracted service provides checking of fire equipment.  Fire training and security situations are part of orientation of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in the event of a civil defence emergency including food, water, blankets, and gas cooking.  Water stores include 4000 litres, stored in two tanks in the ceiling space for emergency water use.  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their call bells in close proximity.  Call bells are regularly checked to ensure that residents have access to them, and that the call bells are firmly attached to the wall.  The response to call bells exceeds acceptable standards of care (link 1.2.3.8).</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residents are safe.  There are internal and external security cameras installed including at the entrance to the facility.  The facility is kept locked from dusk to dawn.  In addition to an external security firm that routinely monitors the facility at night-time, staff complete regular security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 facility utilises heat pumps and gas heating, all of which are thermostatically controlled.  All bedrooms and communal areas have at least one external window which let in natural light.  The temperature of the facility is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officer (registered nurse) is responsible for infection control across the facility.  The IC programme is reviewed annually by the infection control and prevention specialist at Bupa head office.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and all staff working in care have received both doses of the Pfizer Covid-19 vaccine.  Residents and staff are offered the influenza vaccine.  Covid-19 scanning/manual sign in is mandatory on entry to the facility and the use of face masks is required as part of level 2 restrictions.  Covid-19 education has been provided for all staff, including hand hygiene and use of PPE.  Bupa has monthly infection control teleconferences for information, education, and discussion and Covid updates should matters arise in-between scheduled meeting times.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two outbreaks (one respiratory and one gastro) in 2021 which were appropriately managed and included liaison with the local DHB.  Public health authorities were notified.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Bupa Cedar Manor.  The infection control committee meet monthly and then feed into staff, clinical and quality meetings.  The IC coordinator has completed training in infection control.  External resources and support are available through the Bupa quality &amp; risk team, external specialists, microbiologist, GP, wound nurse specialist and DHB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are updated regularly and directed from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Bupa intranet with resources, guidelines best practice, education packages and group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officer.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electronic database for benchmarking.  Corrective actions are established where trends are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no residents using restraints and one rest home level resident using bedrails as an enabler.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She understands strategies around restraint minimisation and has been instrumental in maintaining a restraint-free environment since 2018.  This positive achievement has resulted in the award of a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is being provided.  Restraint is discussed as part of staff meetings and in separate, monthly restraint meetings.  </w:t>
            </w:r>
          </w:p>
          <w:p w:rsidR="00EB7645" w:rsidRPr="00BE00C7" w:rsidP="00BE00C7">
            <w:pPr>
              <w:pStyle w:val="OutcomeDescription"/>
              <w:spacing w:before="120" w:after="120"/>
              <w:rPr>
                <w:rFonts w:cs="Arial"/>
                <w:b w:val="0"/>
                <w:lang w:eastAsia="en-NZ"/>
              </w:rPr>
            </w:pPr>
            <w:r w:rsidRPr="00BE00C7">
              <w:rPr>
                <w:rFonts w:cs="Arial"/>
                <w:b w:val="0"/>
                <w:lang w:eastAsia="en-NZ"/>
              </w:rPr>
              <w:t>One file of a rest home level resident voluntarily using an enabler to assist in promoting bed mobility reflected evidence of an enabler assessment, written consent provided by the resident, and three-monthly reviews.  The enabler is linked to the resident’s care plan and include risks associated with the use of bedrails.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86"/>
        <w:gridCol w:w="1280"/>
        <w:gridCol w:w="4247"/>
        <w:gridCol w:w="5044"/>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resulting from internal audits are typically signed off when implemented.  Missing was evidence of a corrective action plan being implemented around the timely response to call bells.  During an interview with the care home manager and clinical manager, this was acknowledged as a concern and actions were being established to address this issue.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timely response to call bells exceeded 10 minutes in 52 cases and 57 instances respectively over two (one week) periods (1 Nov 2021 – 7 Nov 2021 and 8 Nov 2021 – 15 Nov 2021).  Interviews confirmed the resident and family concerns in relation to delays in staff responding to call bells.  The care home manager stated that the call bell alert system should be escalated after six minutes but she does not believe that this is working.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corrective action plan is implemented to address call bell response times.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93"/>
        <w:gridCol w:w="1280"/>
        <w:gridCol w:w="1480"/>
        <w:gridCol w:w="96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robust education and training programme is being implemented that includes the Bupa person first – dementia second training for staff.  A significant number of positive resident outcomes have been achieved as a result of this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person first, dementia second education programme has been continuously running at Cedar Manor since January 2019.  Thirty staff have now completed the programme, which is made up of seven modules delivered over eight, two-hour sessions.  There are four person first coaches at Cedar Manor who are responsible for delivering this programme.  Staff interviews confirmed that the person first programme has been very successful in helping staff to better understand what it may be like to live with a diagnosis of dementia.  Staff interviews provided a range of outcomes to benefit residents living with dementia including using simple commands when asking residents to complete a task, developing greater confidence when managing residents with challenging behaviours, and developing a much better understanding of residents’ individual needs.  The chef reported that it has taught him to be more flexible in providing food to residents.  One staff set up a hair salon in the lounge to support a resident who previously worked as a hair stylist.  The RN interviewed from the dementia wing stated that since the implementation of this learning programme, communication between residents and staff has improved and that the staff are coping with difficult behaviours in a more positive manner.  A housekeeper reported that prior to her person first training she would steer residents away from her housekeeping trolley and now she allows the residents to help her by giving them a clean duster to wipe handrails, ensuring that chemicals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maintained a restraint-free environment since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implemented to maintain a restraint-free environment since 2018 have included keeping residents occupied with purposeful activities, educating families on the benefits of keeping their family in a restraint-free environment, the implementation of falls prevention strategies, regular toileting and snacks for residents, ensuring adequate lighting in residents’ rooms, and ensuring residents are placed at the correct level of care with appropriate staffing levels, and coloured sensor mats.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Cedar Manor Rest Home &amp; Hospital</w:t>
    </w:r>
    <w:bookmarkEnd w:id="58"/>
    <w:r>
      <w:rPr>
        <w:rFonts w:cs="Arial"/>
        <w:sz w:val="16"/>
        <w:szCs w:val="20"/>
      </w:rPr>
      <w:tab/>
      <w:t xml:space="preserve">Date of Audit: </w:t>
    </w:r>
    <w:bookmarkStart w:id="59" w:name="AuditStartDate1"/>
    <w:r>
      <w:rPr>
        <w:rFonts w:cs="Arial"/>
        <w:sz w:val="16"/>
        <w:szCs w:val="20"/>
      </w:rPr>
      <w:t>16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